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sz w:val="32"/>
          <w:szCs w:val="32"/>
        </w:rPr>
      </w:pPr>
      <w:r>
        <w:rPr>
          <w:rFonts w:hint="eastAsia" w:ascii="黑体" w:hAnsi="黑体" w:eastAsia="黑体"/>
          <w:sz w:val="32"/>
          <w:szCs w:val="32"/>
        </w:rPr>
        <w:t>常州市新北区“姚建法名教师成长营”研修方案</w:t>
      </w:r>
    </w:p>
    <w:p>
      <w:pPr>
        <w:pStyle w:val="2"/>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2021年度</w:t>
      </w:r>
      <w:r>
        <w:rPr>
          <w:rFonts w:hint="eastAsia" w:ascii="楷体" w:hAnsi="楷体" w:eastAsia="楷体" w:cs="楷体"/>
          <w:sz w:val="28"/>
          <w:szCs w:val="28"/>
          <w:lang w:eastAsia="zh-CN"/>
        </w:rPr>
        <w:t>）</w:t>
      </w:r>
    </w:p>
    <w:p>
      <w:pPr>
        <w:spacing w:line="540" w:lineRule="exact"/>
        <w:ind w:firstLine="482" w:firstLineChars="200"/>
        <w:rPr>
          <w:rFonts w:ascii="仿宋_GB2312"/>
          <w:b/>
          <w:color w:val="auto"/>
          <w:sz w:val="24"/>
          <w:szCs w:val="24"/>
        </w:rPr>
      </w:pPr>
      <w:r>
        <w:rPr>
          <w:rFonts w:hint="eastAsia" w:ascii="仿宋_GB2312"/>
          <w:b/>
          <w:color w:val="auto"/>
          <w:sz w:val="24"/>
          <w:szCs w:val="24"/>
        </w:rPr>
        <w:t>一、成长营基本情况</w:t>
      </w:r>
    </w:p>
    <w:p>
      <w:pPr>
        <w:spacing w:line="540" w:lineRule="exact"/>
        <w:ind w:firstLine="482" w:firstLineChars="200"/>
        <w:rPr>
          <w:rFonts w:ascii="仿宋_GB2312"/>
          <w:b/>
          <w:color w:val="auto"/>
          <w:sz w:val="24"/>
          <w:szCs w:val="24"/>
        </w:rPr>
      </w:pPr>
      <w:r>
        <w:rPr>
          <w:rFonts w:hint="eastAsia" w:ascii="仿宋_GB2312"/>
          <w:b/>
          <w:color w:val="auto"/>
          <w:sz w:val="24"/>
          <w:szCs w:val="24"/>
        </w:rPr>
        <w:t>1.营员基本情况</w:t>
      </w:r>
    </w:p>
    <w:p>
      <w:pPr>
        <w:spacing w:line="540" w:lineRule="exact"/>
        <w:ind w:firstLine="480" w:firstLineChars="200"/>
        <w:rPr>
          <w:rFonts w:ascii="仿宋_GB2312"/>
          <w:color w:val="auto"/>
          <w:sz w:val="24"/>
          <w:szCs w:val="24"/>
        </w:rPr>
      </w:pPr>
      <w:r>
        <w:rPr>
          <w:rFonts w:hint="eastAsia" w:ascii="仿宋_GB2312"/>
          <w:color w:val="auto"/>
          <w:sz w:val="24"/>
          <w:szCs w:val="24"/>
        </w:rPr>
        <w:t>成长营采取“1+1+2+N”模式，即1位领衔人、1位导师、2位助理、15名营员。都是受学校重视的专业发展骨干，年轻活力，乐于钻研，勇于进取。但对于理论的实践性解读和实践的理论性反思还有待进一步培育和提升。</w:t>
      </w:r>
    </w:p>
    <w:tbl>
      <w:tblPr>
        <w:tblStyle w:val="5"/>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5"/>
        <w:gridCol w:w="1200"/>
        <w:gridCol w:w="738"/>
        <w:gridCol w:w="1039"/>
        <w:gridCol w:w="708"/>
        <w:gridCol w:w="1276"/>
        <w:gridCol w:w="1701"/>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005"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姓名</w:t>
            </w:r>
          </w:p>
        </w:tc>
        <w:tc>
          <w:tcPr>
            <w:tcW w:w="1200"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小学</w:t>
            </w:r>
          </w:p>
        </w:tc>
        <w:tc>
          <w:tcPr>
            <w:tcW w:w="738"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性别</w:t>
            </w:r>
          </w:p>
        </w:tc>
        <w:tc>
          <w:tcPr>
            <w:tcW w:w="1039"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生日</w:t>
            </w:r>
          </w:p>
        </w:tc>
        <w:tc>
          <w:tcPr>
            <w:tcW w:w="708"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职称</w:t>
            </w:r>
          </w:p>
        </w:tc>
        <w:tc>
          <w:tcPr>
            <w:tcW w:w="1276"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专业称号</w:t>
            </w:r>
          </w:p>
        </w:tc>
        <w:tc>
          <w:tcPr>
            <w:tcW w:w="1701"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现学校职务</w:t>
            </w:r>
          </w:p>
        </w:tc>
        <w:tc>
          <w:tcPr>
            <w:tcW w:w="946"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姚建法</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新桥</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男</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197908</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中高</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市学带</w:t>
            </w: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副校长</w:t>
            </w:r>
          </w:p>
        </w:tc>
        <w:tc>
          <w:tcPr>
            <w:tcW w:w="946"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领衔人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张小玲</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圩塘</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198101</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中一</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市骨干</w:t>
            </w:r>
          </w:p>
        </w:tc>
        <w:tc>
          <w:tcPr>
            <w:tcW w:w="1701" w:type="dxa"/>
          </w:tcPr>
          <w:p>
            <w:pPr>
              <w:jc w:val="center"/>
              <w:rPr>
                <w:rFonts w:ascii="楷体" w:hAnsi="楷体" w:eastAsia="楷体"/>
                <w:color w:val="auto"/>
                <w:sz w:val="21"/>
                <w:szCs w:val="21"/>
              </w:rPr>
            </w:pPr>
          </w:p>
        </w:tc>
        <w:tc>
          <w:tcPr>
            <w:tcW w:w="94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助理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蔡腾飞</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香槟湖</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198609</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中一</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市骨干</w:t>
            </w:r>
          </w:p>
        </w:tc>
        <w:tc>
          <w:tcPr>
            <w:tcW w:w="1701" w:type="dxa"/>
          </w:tcPr>
          <w:p>
            <w:pPr>
              <w:jc w:val="center"/>
              <w:rPr>
                <w:rFonts w:ascii="楷体" w:hAnsi="楷体" w:eastAsia="楷体"/>
                <w:color w:val="auto"/>
                <w:sz w:val="21"/>
                <w:szCs w:val="21"/>
              </w:rPr>
            </w:pPr>
            <w:r>
              <w:rPr>
                <w:rFonts w:hint="eastAsia" w:ascii="楷体" w:hAnsi="楷体" w:eastAsia="楷体"/>
                <w:color w:val="auto"/>
                <w:sz w:val="21"/>
                <w:szCs w:val="21"/>
              </w:rPr>
              <w:t>课程部副部长</w:t>
            </w:r>
          </w:p>
        </w:tc>
        <w:tc>
          <w:tcPr>
            <w:tcW w:w="94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助理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殷娟</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新桥</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198611</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中一</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市能手</w:t>
            </w: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行政办副主任</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胡珂</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百草园</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198809</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区骨干</w:t>
            </w: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备课组长</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陈沁</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三井</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198910</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区骨干</w:t>
            </w: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班主任</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蔡芬</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龙虎二小</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199003</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区骨干</w:t>
            </w: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课程中心副主任</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徐子燕</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龙虎</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198406</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教研组长</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杨洋</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龙城</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男</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198910</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吴秀娟</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百丈</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199009</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德育处体验岗</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李婷</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九里</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199107</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备课组长</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王红</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春江</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199202</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年级组长</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陈嘉烨</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薛家</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199204</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王兰兰</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孟实</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199211</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备课组长</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罗雯娟</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新桥</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199212</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教研组长</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王斌</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安家</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男</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199302</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班主任</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王怡雯</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飞龙</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199402</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班主任</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徐艺</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新桥二小</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199504</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班主任</w:t>
            </w:r>
          </w:p>
        </w:tc>
        <w:tc>
          <w:tcPr>
            <w:tcW w:w="946" w:type="dxa"/>
            <w:vAlign w:val="center"/>
          </w:tcPr>
          <w:p>
            <w:pPr>
              <w:jc w:val="center"/>
              <w:rPr>
                <w:rFonts w:ascii="楷体" w:hAnsi="楷体" w:eastAsia="楷体" w:cs="宋体"/>
                <w:color w:val="auto"/>
                <w:sz w:val="21"/>
                <w:szCs w:val="21"/>
              </w:rPr>
            </w:pPr>
          </w:p>
        </w:tc>
      </w:tr>
    </w:tbl>
    <w:p>
      <w:pPr>
        <w:spacing w:line="540" w:lineRule="exact"/>
        <w:ind w:firstLine="482" w:firstLineChars="200"/>
        <w:rPr>
          <w:rFonts w:ascii="仿宋_GB2312"/>
          <w:color w:val="auto"/>
          <w:sz w:val="24"/>
          <w:szCs w:val="24"/>
        </w:rPr>
      </w:pPr>
      <w:r>
        <w:rPr>
          <w:rFonts w:hint="eastAsia" w:ascii="仿宋_GB2312"/>
          <w:b/>
          <w:color w:val="auto"/>
          <w:sz w:val="24"/>
          <w:szCs w:val="24"/>
        </w:rPr>
        <w:t>2.成长营研修项目</w:t>
      </w:r>
      <w:r>
        <w:rPr>
          <w:rFonts w:hint="eastAsia" w:ascii="仿宋_GB2312"/>
          <w:color w:val="auto"/>
          <w:sz w:val="24"/>
          <w:szCs w:val="24"/>
        </w:rPr>
        <w:t>：苏教版小学数学教材例题中多元表征教学手册研发</w:t>
      </w:r>
    </w:p>
    <w:p>
      <w:pPr>
        <w:tabs>
          <w:tab w:val="left" w:pos="1804"/>
        </w:tabs>
        <w:ind w:firstLine="708" w:firstLineChars="336"/>
        <w:jc w:val="left"/>
        <w:rPr>
          <w:b/>
          <w:color w:val="auto"/>
          <w:sz w:val="21"/>
          <w:szCs w:val="21"/>
        </w:rPr>
      </w:pPr>
      <w:r>
        <w:rPr>
          <w:rFonts w:hint="eastAsia"/>
          <w:b/>
          <w:color w:val="auto"/>
          <w:sz w:val="21"/>
          <w:szCs w:val="21"/>
        </w:rPr>
        <w:t xml:space="preserve">    第一部分．数学多元表征的内涵、特征与功能</w:t>
      </w:r>
    </w:p>
    <w:p>
      <w:pPr>
        <w:tabs>
          <w:tab w:val="left" w:pos="1804"/>
        </w:tabs>
        <w:ind w:firstLine="705" w:firstLineChars="336"/>
        <w:jc w:val="left"/>
        <w:rPr>
          <w:color w:val="auto"/>
          <w:sz w:val="21"/>
          <w:szCs w:val="21"/>
        </w:rPr>
      </w:pPr>
      <w:r>
        <w:rPr>
          <w:rFonts w:hint="eastAsia"/>
          <w:color w:val="auto"/>
          <w:sz w:val="21"/>
          <w:szCs w:val="21"/>
        </w:rPr>
        <w:t xml:space="preserve">    （1）数学多元表征的内涵</w:t>
      </w:r>
    </w:p>
    <w:p>
      <w:pPr>
        <w:tabs>
          <w:tab w:val="left" w:pos="1804"/>
        </w:tabs>
        <w:ind w:firstLine="705" w:firstLineChars="336"/>
        <w:jc w:val="left"/>
        <w:rPr>
          <w:color w:val="auto"/>
          <w:sz w:val="21"/>
          <w:szCs w:val="21"/>
        </w:rPr>
      </w:pPr>
      <w:r>
        <w:rPr>
          <w:rFonts w:hint="eastAsia"/>
          <w:color w:val="auto"/>
          <w:sz w:val="21"/>
          <w:szCs w:val="21"/>
        </w:rPr>
        <w:t xml:space="preserve">    （2）小学数学多元表征的特征</w:t>
      </w:r>
    </w:p>
    <w:p>
      <w:pPr>
        <w:tabs>
          <w:tab w:val="left" w:pos="1804"/>
        </w:tabs>
        <w:ind w:firstLine="705" w:firstLineChars="336"/>
        <w:jc w:val="left"/>
        <w:rPr>
          <w:color w:val="auto"/>
          <w:sz w:val="21"/>
          <w:szCs w:val="21"/>
        </w:rPr>
      </w:pPr>
      <w:r>
        <w:rPr>
          <w:rFonts w:hint="eastAsia"/>
          <w:color w:val="auto"/>
          <w:sz w:val="21"/>
          <w:szCs w:val="21"/>
        </w:rPr>
        <w:t xml:space="preserve">    （3）小学数学多元表征的功能</w:t>
      </w:r>
    </w:p>
    <w:p>
      <w:pPr>
        <w:tabs>
          <w:tab w:val="left" w:pos="1804"/>
        </w:tabs>
        <w:ind w:firstLine="708" w:firstLineChars="336"/>
        <w:jc w:val="left"/>
        <w:rPr>
          <w:b/>
          <w:color w:val="auto"/>
          <w:sz w:val="21"/>
          <w:szCs w:val="21"/>
        </w:rPr>
      </w:pPr>
      <w:r>
        <w:rPr>
          <w:rFonts w:hint="eastAsia"/>
          <w:b/>
          <w:color w:val="auto"/>
          <w:sz w:val="21"/>
          <w:szCs w:val="21"/>
        </w:rPr>
        <w:t xml:space="preserve">    第二部分．苏教版小学数学教材例题教学中多元表征活动设计建设</w:t>
      </w:r>
    </w:p>
    <w:p>
      <w:pPr>
        <w:tabs>
          <w:tab w:val="left" w:pos="1804"/>
        </w:tabs>
        <w:ind w:firstLine="705" w:firstLineChars="336"/>
        <w:jc w:val="left"/>
        <w:rPr>
          <w:color w:val="auto"/>
          <w:sz w:val="21"/>
          <w:szCs w:val="21"/>
        </w:rPr>
      </w:pPr>
      <w:r>
        <w:rPr>
          <w:rFonts w:hint="eastAsia"/>
          <w:color w:val="auto"/>
          <w:sz w:val="21"/>
          <w:szCs w:val="21"/>
        </w:rPr>
        <w:t xml:space="preserve">    （1）动作表征的活动设计、策略和教学范例</w:t>
      </w:r>
    </w:p>
    <w:p>
      <w:pPr>
        <w:tabs>
          <w:tab w:val="left" w:pos="1804"/>
        </w:tabs>
        <w:ind w:firstLine="705" w:firstLineChars="336"/>
        <w:jc w:val="left"/>
        <w:rPr>
          <w:color w:val="auto"/>
          <w:sz w:val="21"/>
          <w:szCs w:val="21"/>
        </w:rPr>
      </w:pPr>
      <w:r>
        <w:rPr>
          <w:rFonts w:hint="eastAsia"/>
          <w:color w:val="auto"/>
          <w:sz w:val="21"/>
          <w:szCs w:val="21"/>
        </w:rPr>
        <w:t xml:space="preserve">    （2）图像表征的活动设计、策略和教学范例</w:t>
      </w:r>
    </w:p>
    <w:p>
      <w:pPr>
        <w:tabs>
          <w:tab w:val="left" w:pos="1804"/>
        </w:tabs>
        <w:ind w:firstLine="705" w:firstLineChars="336"/>
        <w:jc w:val="left"/>
        <w:rPr>
          <w:color w:val="auto"/>
          <w:sz w:val="21"/>
          <w:szCs w:val="21"/>
        </w:rPr>
      </w:pPr>
      <w:r>
        <w:rPr>
          <w:rFonts w:hint="eastAsia"/>
          <w:color w:val="auto"/>
          <w:sz w:val="21"/>
          <w:szCs w:val="21"/>
        </w:rPr>
        <w:t xml:space="preserve">    （3）符号表征的活动设计、策略和教学范例</w:t>
      </w:r>
    </w:p>
    <w:p>
      <w:pPr>
        <w:tabs>
          <w:tab w:val="left" w:pos="1804"/>
        </w:tabs>
        <w:ind w:firstLine="705" w:firstLineChars="336"/>
        <w:jc w:val="left"/>
        <w:rPr>
          <w:color w:val="auto"/>
          <w:sz w:val="21"/>
          <w:szCs w:val="21"/>
        </w:rPr>
      </w:pPr>
      <w:r>
        <w:rPr>
          <w:rFonts w:hint="eastAsia"/>
          <w:color w:val="auto"/>
          <w:sz w:val="21"/>
          <w:szCs w:val="21"/>
        </w:rPr>
        <w:t xml:space="preserve">    （4）多元表征的活动设计、策略和教学范例</w:t>
      </w:r>
    </w:p>
    <w:p>
      <w:pPr>
        <w:tabs>
          <w:tab w:val="left" w:pos="1804"/>
        </w:tabs>
        <w:ind w:firstLine="708" w:firstLineChars="336"/>
        <w:jc w:val="left"/>
        <w:rPr>
          <w:b/>
          <w:color w:val="auto"/>
          <w:sz w:val="21"/>
          <w:szCs w:val="21"/>
        </w:rPr>
      </w:pPr>
      <w:r>
        <w:rPr>
          <w:rFonts w:hint="eastAsia"/>
          <w:b/>
          <w:color w:val="auto"/>
          <w:sz w:val="21"/>
          <w:szCs w:val="21"/>
        </w:rPr>
        <w:t xml:space="preserve">    第三部分．苏教版小学数学教材例题教学中表征转换与转译的路径设计建设</w:t>
      </w:r>
    </w:p>
    <w:p>
      <w:pPr>
        <w:tabs>
          <w:tab w:val="left" w:pos="1804"/>
        </w:tabs>
        <w:ind w:firstLine="705" w:firstLineChars="336"/>
        <w:jc w:val="left"/>
        <w:rPr>
          <w:color w:val="auto"/>
          <w:sz w:val="21"/>
          <w:szCs w:val="21"/>
        </w:rPr>
      </w:pPr>
      <w:r>
        <w:rPr>
          <w:rFonts w:hint="eastAsia"/>
          <w:color w:val="auto"/>
          <w:sz w:val="21"/>
          <w:szCs w:val="21"/>
        </w:rPr>
        <w:t xml:space="preserve">    （1）表征内转换的路径设计与案例</w:t>
      </w:r>
    </w:p>
    <w:p>
      <w:pPr>
        <w:tabs>
          <w:tab w:val="left" w:pos="1804"/>
        </w:tabs>
        <w:ind w:firstLine="705" w:firstLineChars="336"/>
        <w:jc w:val="left"/>
        <w:rPr>
          <w:color w:val="auto"/>
          <w:sz w:val="21"/>
          <w:szCs w:val="21"/>
        </w:rPr>
      </w:pPr>
      <w:r>
        <w:rPr>
          <w:rFonts w:hint="eastAsia"/>
          <w:color w:val="auto"/>
          <w:sz w:val="21"/>
          <w:szCs w:val="21"/>
        </w:rPr>
        <w:t xml:space="preserve">    （2）表征间转译的路径设计与案例</w:t>
      </w:r>
    </w:p>
    <w:p>
      <w:pPr>
        <w:tabs>
          <w:tab w:val="left" w:pos="1804"/>
        </w:tabs>
        <w:ind w:firstLine="708" w:firstLineChars="336"/>
        <w:jc w:val="left"/>
        <w:rPr>
          <w:b/>
          <w:color w:val="auto"/>
          <w:sz w:val="21"/>
          <w:szCs w:val="21"/>
        </w:rPr>
      </w:pPr>
      <w:r>
        <w:rPr>
          <w:rFonts w:hint="eastAsia"/>
          <w:b/>
          <w:color w:val="auto"/>
          <w:sz w:val="21"/>
          <w:szCs w:val="21"/>
        </w:rPr>
        <w:t xml:space="preserve">    第四部分．苏教版小学数学教材例题教学中多元表征内容结构与认知模型建设</w:t>
      </w:r>
    </w:p>
    <w:p>
      <w:pPr>
        <w:tabs>
          <w:tab w:val="left" w:pos="1804"/>
        </w:tabs>
        <w:ind w:firstLine="705" w:firstLineChars="336"/>
        <w:jc w:val="left"/>
        <w:rPr>
          <w:color w:val="auto"/>
          <w:sz w:val="21"/>
          <w:szCs w:val="21"/>
        </w:rPr>
      </w:pPr>
      <w:r>
        <w:rPr>
          <w:rFonts w:hint="eastAsia"/>
          <w:color w:val="auto"/>
          <w:sz w:val="21"/>
          <w:szCs w:val="21"/>
        </w:rPr>
        <w:t xml:space="preserve">    （1）苏教版小学数学教材例题的内容结构框架</w:t>
      </w:r>
    </w:p>
    <w:p>
      <w:pPr>
        <w:tabs>
          <w:tab w:val="left" w:pos="1804"/>
        </w:tabs>
        <w:ind w:firstLine="705" w:firstLineChars="336"/>
        <w:jc w:val="left"/>
        <w:rPr>
          <w:color w:val="auto"/>
          <w:sz w:val="21"/>
          <w:szCs w:val="21"/>
        </w:rPr>
      </w:pPr>
      <w:r>
        <w:rPr>
          <w:rFonts w:hint="eastAsia"/>
          <w:color w:val="auto"/>
          <w:sz w:val="21"/>
          <w:szCs w:val="21"/>
        </w:rPr>
        <w:t xml:space="preserve">    （2）苏教版小学数学教材例题中多元表征的认知模型</w:t>
      </w:r>
    </w:p>
    <w:p>
      <w:pPr>
        <w:tabs>
          <w:tab w:val="left" w:pos="1804"/>
        </w:tabs>
        <w:ind w:firstLine="708" w:firstLineChars="336"/>
        <w:jc w:val="left"/>
        <w:rPr>
          <w:b/>
          <w:color w:val="auto"/>
          <w:sz w:val="21"/>
          <w:szCs w:val="21"/>
        </w:rPr>
      </w:pPr>
      <w:r>
        <w:rPr>
          <w:rFonts w:hint="eastAsia"/>
          <w:b/>
          <w:color w:val="auto"/>
          <w:sz w:val="21"/>
          <w:szCs w:val="21"/>
        </w:rPr>
        <w:t xml:space="preserve">    第五部分．多元表征促进教学的评价建设</w:t>
      </w:r>
    </w:p>
    <w:p>
      <w:pPr>
        <w:tabs>
          <w:tab w:val="left" w:pos="1804"/>
        </w:tabs>
        <w:ind w:firstLine="705" w:firstLineChars="336"/>
        <w:jc w:val="left"/>
        <w:rPr>
          <w:color w:val="auto"/>
          <w:sz w:val="21"/>
          <w:szCs w:val="21"/>
        </w:rPr>
      </w:pPr>
      <w:r>
        <w:rPr>
          <w:rFonts w:hint="eastAsia"/>
          <w:color w:val="auto"/>
          <w:sz w:val="21"/>
          <w:szCs w:val="21"/>
        </w:rPr>
        <w:t xml:space="preserve">    （1）教学具设计</w:t>
      </w:r>
    </w:p>
    <w:p>
      <w:pPr>
        <w:tabs>
          <w:tab w:val="left" w:pos="1804"/>
        </w:tabs>
        <w:ind w:firstLine="705" w:firstLineChars="336"/>
        <w:jc w:val="left"/>
        <w:rPr>
          <w:color w:val="auto"/>
          <w:sz w:val="21"/>
          <w:szCs w:val="21"/>
        </w:rPr>
      </w:pPr>
      <w:r>
        <w:rPr>
          <w:rFonts w:hint="eastAsia"/>
          <w:color w:val="auto"/>
          <w:sz w:val="21"/>
          <w:szCs w:val="21"/>
        </w:rPr>
        <w:t xml:space="preserve">    （2）多元表征教学的表现性评价</w:t>
      </w:r>
    </w:p>
    <w:p>
      <w:pPr>
        <w:tabs>
          <w:tab w:val="left" w:pos="1804"/>
        </w:tabs>
        <w:ind w:firstLine="705" w:firstLineChars="336"/>
        <w:jc w:val="left"/>
        <w:rPr>
          <w:color w:val="auto"/>
          <w:sz w:val="21"/>
          <w:szCs w:val="21"/>
        </w:rPr>
      </w:pPr>
      <w:r>
        <w:rPr>
          <w:rFonts w:hint="eastAsia"/>
          <w:color w:val="auto"/>
          <w:sz w:val="21"/>
          <w:szCs w:val="21"/>
        </w:rPr>
        <w:t xml:space="preserve">    （3）多元表征促进学习的评价题库</w:t>
      </w:r>
    </w:p>
    <w:p>
      <w:pPr>
        <w:spacing w:line="540" w:lineRule="exact"/>
        <w:ind w:firstLine="482" w:firstLineChars="200"/>
        <w:rPr>
          <w:rFonts w:ascii="仿宋_GB2312"/>
          <w:b/>
          <w:color w:val="auto"/>
          <w:sz w:val="24"/>
          <w:szCs w:val="24"/>
        </w:rPr>
      </w:pPr>
      <w:r>
        <w:rPr>
          <w:rFonts w:hint="eastAsia" w:ascii="仿宋_GB2312"/>
          <w:b/>
          <w:color w:val="auto"/>
          <w:sz w:val="24"/>
          <w:szCs w:val="24"/>
        </w:rPr>
        <w:t>二、定位及目标</w:t>
      </w:r>
    </w:p>
    <w:p>
      <w:pPr>
        <w:spacing w:line="540" w:lineRule="exact"/>
        <w:ind w:firstLine="482" w:firstLineChars="200"/>
        <w:rPr>
          <w:rFonts w:ascii="仿宋_GB2312"/>
          <w:b/>
          <w:color w:val="auto"/>
          <w:sz w:val="24"/>
          <w:szCs w:val="24"/>
        </w:rPr>
      </w:pPr>
      <w:r>
        <w:rPr>
          <w:rFonts w:ascii="仿宋_GB2312"/>
          <w:b/>
          <w:color w:val="auto"/>
          <w:sz w:val="24"/>
          <w:szCs w:val="24"/>
        </w:rPr>
        <w:t>1.</w:t>
      </w:r>
      <w:r>
        <w:rPr>
          <w:rFonts w:hint="eastAsia" w:ascii="仿宋_GB2312"/>
          <w:b/>
          <w:color w:val="auto"/>
          <w:sz w:val="24"/>
          <w:szCs w:val="24"/>
        </w:rPr>
        <w:t>定位</w:t>
      </w:r>
    </w:p>
    <w:p>
      <w:pPr>
        <w:spacing w:line="540" w:lineRule="exact"/>
        <w:ind w:firstLine="360" w:firstLineChars="150"/>
        <w:rPr>
          <w:rFonts w:ascii="仿宋_GB2312"/>
          <w:color w:val="auto"/>
          <w:sz w:val="24"/>
          <w:szCs w:val="24"/>
        </w:rPr>
      </w:pPr>
      <w:r>
        <w:rPr>
          <w:rFonts w:hint="eastAsia" w:ascii="仿宋_GB2312"/>
          <w:color w:val="auto"/>
          <w:sz w:val="24"/>
          <w:szCs w:val="24"/>
        </w:rPr>
        <w:t>“真”的平台：开展真实践，明晰真路径，建设真项目，寻求真策略</w:t>
      </w:r>
    </w:p>
    <w:p>
      <w:pPr>
        <w:spacing w:line="540" w:lineRule="exact"/>
        <w:ind w:firstLine="360" w:firstLineChars="150"/>
        <w:rPr>
          <w:rFonts w:ascii="仿宋_GB2312"/>
          <w:color w:val="auto"/>
          <w:sz w:val="24"/>
          <w:szCs w:val="24"/>
        </w:rPr>
      </w:pPr>
      <w:r>
        <w:rPr>
          <w:rFonts w:hint="eastAsia" w:ascii="仿宋_GB2312"/>
          <w:color w:val="auto"/>
          <w:sz w:val="24"/>
          <w:szCs w:val="24"/>
        </w:rPr>
        <w:t>“动”的舞台：灵动的课堂，生动的分享，互动的交往，能动的创想</w:t>
      </w:r>
    </w:p>
    <w:p>
      <w:pPr>
        <w:spacing w:line="540" w:lineRule="exact"/>
        <w:ind w:firstLine="482" w:firstLineChars="200"/>
        <w:rPr>
          <w:rFonts w:ascii="仿宋_GB2312"/>
          <w:b/>
          <w:color w:val="auto"/>
          <w:sz w:val="24"/>
          <w:szCs w:val="24"/>
        </w:rPr>
      </w:pPr>
      <w:r>
        <w:rPr>
          <w:rFonts w:ascii="仿宋_GB2312"/>
          <w:b/>
          <w:color w:val="auto"/>
          <w:sz w:val="24"/>
          <w:szCs w:val="24"/>
        </w:rPr>
        <w:t>2.</w:t>
      </w:r>
      <w:r>
        <w:rPr>
          <w:rFonts w:hint="eastAsia" w:ascii="仿宋_GB2312"/>
          <w:b/>
          <w:color w:val="auto"/>
          <w:sz w:val="24"/>
          <w:szCs w:val="24"/>
        </w:rPr>
        <w:t>目标</w:t>
      </w:r>
    </w:p>
    <w:p>
      <w:pPr>
        <w:spacing w:line="540" w:lineRule="exact"/>
        <w:ind w:firstLine="480" w:firstLineChars="200"/>
        <w:rPr>
          <w:rFonts w:ascii="仿宋_GB2312"/>
          <w:color w:val="auto"/>
          <w:sz w:val="24"/>
          <w:szCs w:val="24"/>
        </w:rPr>
      </w:pPr>
      <w:r>
        <w:rPr>
          <w:rFonts w:hint="eastAsia" w:ascii="仿宋_GB2312"/>
          <w:color w:val="auto"/>
          <w:sz w:val="24"/>
          <w:szCs w:val="24"/>
        </w:rPr>
        <w:t>完成苏教版小学数学教材例题中多元表征的教学手册研发，形成例题教学路径与范式，指导教师展开数学例题教学，提升课堂教学效率，促进学生多元表征学习理解，培育教师专业化教材解读水平，促进专业成长。</w:t>
      </w:r>
    </w:p>
    <w:p>
      <w:pPr>
        <w:spacing w:line="540" w:lineRule="exact"/>
        <w:ind w:firstLine="482" w:firstLineChars="200"/>
        <w:rPr>
          <w:rFonts w:ascii="仿宋_GB2312"/>
          <w:b/>
          <w:color w:val="auto"/>
          <w:sz w:val="24"/>
          <w:szCs w:val="24"/>
        </w:rPr>
      </w:pPr>
      <w:r>
        <w:rPr>
          <w:rFonts w:hint="eastAsia" w:ascii="仿宋_GB2312"/>
          <w:b/>
          <w:color w:val="auto"/>
          <w:sz w:val="24"/>
          <w:szCs w:val="24"/>
        </w:rPr>
        <w:t>三、主要措施</w:t>
      </w:r>
    </w:p>
    <w:p>
      <w:pPr>
        <w:spacing w:line="540" w:lineRule="exact"/>
        <w:ind w:firstLine="120" w:firstLineChars="50"/>
        <w:rPr>
          <w:rFonts w:ascii="仿宋_GB2312"/>
          <w:color w:val="auto"/>
          <w:sz w:val="24"/>
          <w:szCs w:val="24"/>
        </w:rPr>
      </w:pPr>
      <w:r>
        <w:rPr>
          <w:rFonts w:ascii="仿宋_GB2312"/>
          <w:b/>
          <w:color w:val="auto"/>
          <w:sz w:val="24"/>
          <w:szCs w:val="24"/>
        </w:rPr>
        <w:t xml:space="preserve">   </w:t>
      </w:r>
      <w:r>
        <w:rPr>
          <w:rFonts w:hint="eastAsia" w:ascii="仿宋_GB2312"/>
          <w:b/>
          <w:color w:val="auto"/>
          <w:sz w:val="24"/>
          <w:szCs w:val="24"/>
        </w:rPr>
        <w:t>（</w:t>
      </w:r>
      <w:r>
        <w:rPr>
          <w:rFonts w:ascii="仿宋_GB2312"/>
          <w:b/>
          <w:color w:val="auto"/>
          <w:sz w:val="24"/>
          <w:szCs w:val="24"/>
        </w:rPr>
        <w:t>1</w:t>
      </w:r>
      <w:r>
        <w:rPr>
          <w:rFonts w:hint="eastAsia" w:ascii="仿宋_GB2312"/>
          <w:b/>
          <w:color w:val="auto"/>
          <w:sz w:val="24"/>
          <w:szCs w:val="24"/>
        </w:rPr>
        <w:t>）网络研修：积淀有路径。</w:t>
      </w:r>
      <w:r>
        <w:rPr>
          <w:rFonts w:hint="eastAsia" w:ascii="仿宋_GB2312"/>
          <w:color w:val="auto"/>
          <w:sz w:val="24"/>
          <w:szCs w:val="24"/>
        </w:rPr>
        <w:t>建立成长营网站，建立“多元表征手册研发”</w:t>
      </w:r>
      <w:r>
        <w:rPr>
          <w:rFonts w:ascii="仿宋_GB2312"/>
          <w:color w:val="auto"/>
          <w:sz w:val="24"/>
          <w:szCs w:val="24"/>
        </w:rPr>
        <w:t>QQ</w:t>
      </w:r>
      <w:r>
        <w:rPr>
          <w:rFonts w:hint="eastAsia" w:ascii="仿宋_GB2312"/>
          <w:color w:val="auto"/>
          <w:sz w:val="24"/>
          <w:szCs w:val="24"/>
        </w:rPr>
        <w:t>群，实现在线即时互动与资源积累。关注“小学数学教学网”“小学数学专业化教材解读工作站”“张齐华数学工作室”“基础教育课程”等专业网站与微信公众号，及时了解数学前沿讯息，并把经典文章下载转发至培育室网站或</w:t>
      </w:r>
      <w:r>
        <w:rPr>
          <w:rFonts w:ascii="仿宋_GB2312"/>
          <w:color w:val="auto"/>
          <w:sz w:val="24"/>
          <w:szCs w:val="24"/>
        </w:rPr>
        <w:t>QQ</w:t>
      </w:r>
      <w:r>
        <w:rPr>
          <w:rFonts w:hint="eastAsia" w:ascii="仿宋_GB2312"/>
          <w:color w:val="auto"/>
          <w:sz w:val="24"/>
          <w:szCs w:val="24"/>
        </w:rPr>
        <w:t>群，相互学习，让网络研修成为常态，提升理论素养。每月撰写一篇主题式教学反思，积累项目建设实践经验，每学期进行一次总结与回顾。</w:t>
      </w:r>
    </w:p>
    <w:p>
      <w:pPr>
        <w:spacing w:line="540" w:lineRule="exact"/>
        <w:ind w:firstLine="570"/>
        <w:rPr>
          <w:rFonts w:ascii="仿宋_GB2312"/>
          <w:color w:val="auto"/>
          <w:sz w:val="24"/>
          <w:szCs w:val="24"/>
        </w:rPr>
      </w:pPr>
      <w:r>
        <w:rPr>
          <w:rFonts w:hint="eastAsia" w:ascii="仿宋_GB2312"/>
          <w:b/>
          <w:color w:val="auto"/>
          <w:sz w:val="24"/>
          <w:szCs w:val="24"/>
        </w:rPr>
        <w:t>（</w:t>
      </w:r>
      <w:r>
        <w:rPr>
          <w:rFonts w:ascii="仿宋_GB2312"/>
          <w:b/>
          <w:color w:val="auto"/>
          <w:sz w:val="24"/>
          <w:szCs w:val="24"/>
        </w:rPr>
        <w:t>2</w:t>
      </w:r>
      <w:r>
        <w:rPr>
          <w:rFonts w:hint="eastAsia" w:ascii="仿宋_GB2312"/>
          <w:b/>
          <w:color w:val="auto"/>
          <w:sz w:val="24"/>
          <w:szCs w:val="24"/>
        </w:rPr>
        <w:t>）专题研讨：研修有侧重。</w:t>
      </w:r>
      <w:r>
        <w:rPr>
          <w:rFonts w:hint="eastAsia" w:ascii="仿宋_GB2312"/>
          <w:color w:val="auto"/>
          <w:sz w:val="24"/>
          <w:szCs w:val="24"/>
        </w:rPr>
        <w:t>三年研修过程中，第一年建设专题领域为数与代数，第二年为图形与几何，第三年重点进行两大领域的手册修订。为了更好地进行研讨，一方面，通过数学新课标、专业书籍、杂志等的理论学习或学术沙龙活动，提升理性认识与操作借鉴。另一方面，每次集中活动尝试“理论微坛</w:t>
      </w:r>
      <w:r>
        <w:rPr>
          <w:rFonts w:ascii="仿宋_GB2312"/>
          <w:color w:val="auto"/>
          <w:sz w:val="24"/>
          <w:szCs w:val="24"/>
        </w:rPr>
        <w:t>+</w:t>
      </w:r>
      <w:r>
        <w:rPr>
          <w:rFonts w:hint="eastAsia" w:ascii="仿宋_GB2312"/>
          <w:color w:val="auto"/>
          <w:sz w:val="24"/>
          <w:szCs w:val="24"/>
        </w:rPr>
        <w:t>教学实践</w:t>
      </w:r>
      <w:r>
        <w:rPr>
          <w:rFonts w:ascii="仿宋_GB2312"/>
          <w:color w:val="auto"/>
          <w:sz w:val="24"/>
          <w:szCs w:val="24"/>
        </w:rPr>
        <w:t>+</w:t>
      </w:r>
      <w:r>
        <w:rPr>
          <w:rFonts w:hint="eastAsia" w:ascii="仿宋_GB2312"/>
          <w:color w:val="auto"/>
          <w:sz w:val="24"/>
          <w:szCs w:val="24"/>
        </w:rPr>
        <w:t>观察重构</w:t>
      </w:r>
      <w:r>
        <w:rPr>
          <w:rFonts w:ascii="仿宋_GB2312"/>
          <w:color w:val="auto"/>
          <w:sz w:val="24"/>
          <w:szCs w:val="24"/>
        </w:rPr>
        <w:t>+</w:t>
      </w:r>
      <w:r>
        <w:rPr>
          <w:rFonts w:hint="eastAsia" w:ascii="仿宋_GB2312"/>
          <w:color w:val="auto"/>
          <w:sz w:val="24"/>
          <w:szCs w:val="24"/>
        </w:rPr>
        <w:t>成课成文”研讨模式。</w:t>
      </w:r>
    </w:p>
    <w:p>
      <w:pPr>
        <w:spacing w:line="540" w:lineRule="exact"/>
        <w:ind w:firstLine="570"/>
        <w:rPr>
          <w:rFonts w:ascii="仿宋_GB2312"/>
          <w:color w:val="auto"/>
          <w:sz w:val="24"/>
          <w:szCs w:val="24"/>
        </w:rPr>
      </w:pPr>
      <w:r>
        <w:rPr>
          <w:rFonts w:hint="eastAsia" w:ascii="仿宋_GB2312"/>
          <w:b/>
          <w:color w:val="auto"/>
          <w:sz w:val="24"/>
          <w:szCs w:val="24"/>
        </w:rPr>
        <w:t>（</w:t>
      </w:r>
      <w:r>
        <w:rPr>
          <w:rFonts w:ascii="仿宋_GB2312"/>
          <w:b/>
          <w:color w:val="auto"/>
          <w:sz w:val="24"/>
          <w:szCs w:val="24"/>
        </w:rPr>
        <w:t>3</w:t>
      </w:r>
      <w:r>
        <w:rPr>
          <w:rFonts w:hint="eastAsia" w:ascii="仿宋_GB2312"/>
          <w:b/>
          <w:color w:val="auto"/>
          <w:sz w:val="24"/>
          <w:szCs w:val="24"/>
        </w:rPr>
        <w:t>）项目研引：建设有主题。</w:t>
      </w:r>
      <w:r>
        <w:rPr>
          <w:rFonts w:hint="eastAsia" w:ascii="仿宋_GB2312"/>
          <w:color w:val="auto"/>
          <w:sz w:val="24"/>
          <w:szCs w:val="24"/>
        </w:rPr>
        <w:t>成长营围绕“苏教版小学数学教材例题中多元表征教学手册研发”项目开展建设活动，从动作动作、图像表征、符号表征三个维度开展项目建设，梳理例题内容结构，设计转换转译路径，提炼认知模型，营员完整经历研修的过程，逐步形成自己的研修小项目，感受研修张力。</w:t>
      </w:r>
    </w:p>
    <w:p>
      <w:pPr>
        <w:spacing w:line="540" w:lineRule="exact"/>
        <w:ind w:firstLine="570"/>
        <w:rPr>
          <w:rFonts w:ascii="仿宋_GB2312"/>
          <w:color w:val="auto"/>
          <w:sz w:val="24"/>
          <w:szCs w:val="24"/>
        </w:rPr>
      </w:pPr>
      <w:r>
        <w:rPr>
          <w:rFonts w:hint="eastAsia" w:ascii="仿宋_GB2312"/>
          <w:b/>
          <w:color w:val="auto"/>
          <w:sz w:val="24"/>
          <w:szCs w:val="24"/>
        </w:rPr>
        <w:t>（</w:t>
      </w:r>
      <w:r>
        <w:rPr>
          <w:rFonts w:ascii="仿宋_GB2312"/>
          <w:b/>
          <w:color w:val="auto"/>
          <w:sz w:val="24"/>
          <w:szCs w:val="24"/>
        </w:rPr>
        <w:t>4</w:t>
      </w:r>
      <w:r>
        <w:rPr>
          <w:rFonts w:hint="eastAsia" w:ascii="仿宋_GB2312"/>
          <w:b/>
          <w:color w:val="auto"/>
          <w:sz w:val="24"/>
          <w:szCs w:val="24"/>
        </w:rPr>
        <w:t>）规划研动：成长有方向。</w:t>
      </w:r>
      <w:r>
        <w:rPr>
          <w:rFonts w:hint="eastAsia" w:ascii="仿宋_GB2312"/>
          <w:color w:val="auto"/>
          <w:sz w:val="24"/>
          <w:szCs w:val="24"/>
        </w:rPr>
        <w:t>一是建立成长营规划方案，明确退出机制，设立一名组织委员具体负责落实日常活动的通知、开展，并做好营员的考核、奖励的统计与发放工作，一名学习委员负责成长营网站、培育室</w:t>
      </w:r>
      <w:r>
        <w:rPr>
          <w:rFonts w:ascii="仿宋_GB2312"/>
          <w:color w:val="auto"/>
          <w:sz w:val="24"/>
          <w:szCs w:val="24"/>
        </w:rPr>
        <w:t>QQ</w:t>
      </w:r>
      <w:r>
        <w:rPr>
          <w:rFonts w:hint="eastAsia" w:ascii="仿宋_GB2312"/>
          <w:color w:val="auto"/>
          <w:sz w:val="24"/>
          <w:szCs w:val="24"/>
        </w:rPr>
        <w:t>群推广研究成果、积累各类过程资料，成立低段、中段、高段三个研修小组，</w:t>
      </w:r>
      <w:r>
        <w:rPr>
          <w:rFonts w:hint="eastAsia" w:asciiTheme="minorEastAsia" w:hAnsiTheme="minorEastAsia" w:cstheme="minorEastAsia"/>
          <w:color w:val="auto"/>
          <w:sz w:val="24"/>
          <w:szCs w:val="24"/>
        </w:rPr>
        <w:t>协作推进项目建设</w:t>
      </w:r>
      <w:r>
        <w:rPr>
          <w:rFonts w:hint="eastAsia" w:ascii="仿宋_GB2312"/>
          <w:color w:val="auto"/>
          <w:sz w:val="24"/>
          <w:szCs w:val="24"/>
        </w:rPr>
        <w:t>。二是营员制定个人三年发展规划，从内而外推动发展主动性，并及时看到自己的培育生长性，三个学期结束后组织中期评估展示活动，不断实现目标达成甚至超越。</w:t>
      </w:r>
    </w:p>
    <w:p>
      <w:pPr>
        <w:spacing w:line="540" w:lineRule="exact"/>
        <w:ind w:firstLine="570"/>
        <w:rPr>
          <w:rFonts w:ascii="仿宋_GB2312"/>
          <w:color w:val="auto"/>
          <w:sz w:val="24"/>
          <w:szCs w:val="24"/>
        </w:rPr>
      </w:pPr>
      <w:r>
        <w:rPr>
          <w:rFonts w:hint="eastAsia" w:ascii="仿宋_GB2312"/>
          <w:b/>
          <w:color w:val="auto"/>
          <w:sz w:val="24"/>
          <w:szCs w:val="24"/>
        </w:rPr>
        <w:t>（</w:t>
      </w:r>
      <w:r>
        <w:rPr>
          <w:rFonts w:ascii="仿宋_GB2312"/>
          <w:b/>
          <w:color w:val="auto"/>
          <w:sz w:val="24"/>
          <w:szCs w:val="24"/>
        </w:rPr>
        <w:t>5</w:t>
      </w:r>
      <w:r>
        <w:rPr>
          <w:rFonts w:hint="eastAsia" w:ascii="仿宋_GB2312"/>
          <w:b/>
          <w:color w:val="auto"/>
          <w:sz w:val="24"/>
          <w:szCs w:val="24"/>
        </w:rPr>
        <w:t>）评价研推：效能有体现。</w:t>
      </w:r>
      <w:r>
        <w:rPr>
          <w:rFonts w:hint="eastAsia" w:ascii="仿宋_GB2312"/>
          <w:color w:val="auto"/>
          <w:sz w:val="24"/>
          <w:szCs w:val="24"/>
        </w:rPr>
        <w:t>一是营内开展教材解读、教学设计、评优课比赛、名师课堂观察与文章写作等专项活动，实施多元研评。二是实施年度考核评价激励体系，定量评价与定性评价相结合，过程性与结果性评价相融合，要求成员每次活动都有心得体会，每学年一节研讨课与一次微讲坛，每学期能围绕多元表征创作一篇论文，每学年发表一篇文章。考核分为合格与优秀，分别给予相应物质或精神奖励，进行成果辐射与资源推广，激发与增长营员积极性。</w:t>
      </w:r>
    </w:p>
    <w:p>
      <w:pPr>
        <w:spacing w:line="540" w:lineRule="exact"/>
        <w:ind w:firstLine="570"/>
        <w:rPr>
          <w:rFonts w:ascii="仿宋_GB2312"/>
          <w:color w:val="auto"/>
          <w:sz w:val="24"/>
          <w:szCs w:val="24"/>
        </w:rPr>
      </w:pPr>
      <w:r>
        <w:rPr>
          <w:rFonts w:hint="eastAsia" w:ascii="仿宋_GB2312"/>
          <w:b/>
          <w:color w:val="auto"/>
          <w:sz w:val="24"/>
          <w:szCs w:val="24"/>
        </w:rPr>
        <w:t>（</w:t>
      </w:r>
      <w:r>
        <w:rPr>
          <w:rFonts w:ascii="仿宋_GB2312"/>
          <w:b/>
          <w:color w:val="auto"/>
          <w:sz w:val="24"/>
          <w:szCs w:val="24"/>
        </w:rPr>
        <w:t>6</w:t>
      </w:r>
      <w:r>
        <w:rPr>
          <w:rFonts w:hint="eastAsia" w:ascii="仿宋_GB2312"/>
          <w:b/>
          <w:color w:val="auto"/>
          <w:sz w:val="24"/>
          <w:szCs w:val="24"/>
        </w:rPr>
        <w:t>）导师研领：过程有立体。</w:t>
      </w:r>
      <w:r>
        <w:rPr>
          <w:rFonts w:hint="eastAsia" w:ascii="仿宋_GB2312"/>
          <w:color w:val="auto"/>
          <w:sz w:val="24"/>
          <w:szCs w:val="24"/>
        </w:rPr>
        <w:t>充分利用区内与省市的专家资源，组建理论与实践相结合的研修专家团队。一方面，组织营员走出去，走到导师团成员身边去，或跟岗学习、或共同交流；另一方面定期与不定期邀请导师团成员入营指导。</w:t>
      </w:r>
    </w:p>
    <w:p>
      <w:pPr>
        <w:spacing w:line="540" w:lineRule="exact"/>
        <w:ind w:firstLine="482" w:firstLineChars="200"/>
        <w:rPr>
          <w:rFonts w:ascii="仿宋_GB2312"/>
          <w:b/>
          <w:color w:val="auto"/>
          <w:sz w:val="24"/>
          <w:szCs w:val="24"/>
        </w:rPr>
      </w:pPr>
      <w:r>
        <w:rPr>
          <w:rFonts w:hint="eastAsia" w:ascii="仿宋_GB2312"/>
          <w:b/>
          <w:color w:val="auto"/>
          <w:sz w:val="24"/>
          <w:szCs w:val="24"/>
        </w:rPr>
        <w:t>四、项目实施阶段任务</w:t>
      </w:r>
    </w:p>
    <w:p>
      <w:pPr>
        <w:spacing w:line="540" w:lineRule="exact"/>
        <w:ind w:firstLine="482" w:firstLineChars="200"/>
        <w:rPr>
          <w:rFonts w:ascii="仿宋_GB2312"/>
          <w:b/>
          <w:color w:val="auto"/>
          <w:sz w:val="24"/>
          <w:szCs w:val="24"/>
        </w:rPr>
      </w:pPr>
      <w:r>
        <w:rPr>
          <w:rFonts w:hint="eastAsia" w:ascii="仿宋_GB2312"/>
          <w:b/>
          <w:color w:val="auto"/>
          <w:sz w:val="24"/>
          <w:szCs w:val="24"/>
        </w:rPr>
        <w:t>1．准备阶段（2019.9--2019.12）</w:t>
      </w:r>
    </w:p>
    <w:p>
      <w:pPr>
        <w:spacing w:line="540" w:lineRule="exact"/>
        <w:ind w:firstLine="480" w:firstLineChars="200"/>
        <w:rPr>
          <w:rFonts w:ascii="仿宋_GB2312"/>
          <w:color w:val="auto"/>
          <w:sz w:val="24"/>
          <w:szCs w:val="24"/>
        </w:rPr>
      </w:pPr>
      <w:r>
        <w:rPr>
          <w:rFonts w:hint="eastAsia" w:ascii="仿宋_GB2312"/>
          <w:color w:val="auto"/>
          <w:sz w:val="24"/>
          <w:szCs w:val="24"/>
        </w:rPr>
        <w:t>（1）2019年9月：开展相关理论调查与学习研究，形成多元表征文献综述，开展苏教版小学数学教材例题中多元表征教学的调查问卷并形成分析报告。</w:t>
      </w:r>
    </w:p>
    <w:p>
      <w:pPr>
        <w:spacing w:line="540" w:lineRule="exact"/>
        <w:ind w:firstLine="480" w:firstLineChars="200"/>
        <w:rPr>
          <w:rFonts w:ascii="仿宋_GB2312"/>
          <w:color w:val="auto"/>
          <w:sz w:val="24"/>
          <w:szCs w:val="24"/>
        </w:rPr>
      </w:pPr>
      <w:r>
        <w:rPr>
          <w:rFonts w:hint="eastAsia" w:ascii="仿宋_GB2312"/>
          <w:color w:val="auto"/>
          <w:sz w:val="24"/>
          <w:szCs w:val="24"/>
        </w:rPr>
        <w:t>（2）2019年9月至12月：形成项目方案，组建项目建设团队。</w:t>
      </w:r>
    </w:p>
    <w:p>
      <w:pPr>
        <w:spacing w:line="540" w:lineRule="exact"/>
        <w:ind w:firstLine="482" w:firstLineChars="200"/>
        <w:rPr>
          <w:rFonts w:ascii="仿宋_GB2312"/>
          <w:b/>
          <w:color w:val="auto"/>
          <w:sz w:val="24"/>
          <w:szCs w:val="24"/>
        </w:rPr>
      </w:pPr>
      <w:r>
        <w:rPr>
          <w:rFonts w:hint="eastAsia" w:ascii="仿宋_GB2312"/>
          <w:b/>
          <w:color w:val="auto"/>
          <w:sz w:val="24"/>
          <w:szCs w:val="24"/>
        </w:rPr>
        <w:t>2．实施建设阶段（2020.1--2022.06）</w:t>
      </w:r>
    </w:p>
    <w:p>
      <w:pPr>
        <w:spacing w:line="540" w:lineRule="exact"/>
        <w:ind w:firstLine="482" w:firstLineChars="200"/>
        <w:rPr>
          <w:rFonts w:ascii="仿宋_GB2312"/>
          <w:b/>
          <w:color w:val="auto"/>
          <w:sz w:val="24"/>
          <w:szCs w:val="24"/>
        </w:rPr>
      </w:pPr>
      <w:r>
        <w:rPr>
          <w:rFonts w:hint="eastAsia" w:ascii="仿宋_GB2312"/>
          <w:b/>
          <w:color w:val="auto"/>
          <w:sz w:val="24"/>
          <w:szCs w:val="24"/>
        </w:rPr>
        <w:t>（1）2020年1月至2020年2月</w:t>
      </w:r>
    </w:p>
    <w:p>
      <w:pPr>
        <w:spacing w:line="540" w:lineRule="exact"/>
        <w:ind w:firstLine="480" w:firstLineChars="200"/>
        <w:rPr>
          <w:rFonts w:ascii="仿宋_GB2312"/>
          <w:color w:val="auto"/>
          <w:sz w:val="24"/>
          <w:szCs w:val="24"/>
        </w:rPr>
      </w:pPr>
      <w:r>
        <w:rPr>
          <w:rFonts w:hint="eastAsia" w:ascii="仿宋_GB2312"/>
          <w:color w:val="auto"/>
          <w:sz w:val="24"/>
          <w:szCs w:val="24"/>
        </w:rPr>
        <w:t>①理论准备：单一表征（动作表征、图像表征、符号表征）；多元表征。</w:t>
      </w:r>
    </w:p>
    <w:p>
      <w:pPr>
        <w:spacing w:line="540" w:lineRule="exact"/>
        <w:ind w:firstLine="480" w:firstLineChars="200"/>
        <w:rPr>
          <w:rFonts w:ascii="仿宋_GB2312"/>
          <w:color w:val="auto"/>
          <w:sz w:val="24"/>
          <w:szCs w:val="24"/>
        </w:rPr>
      </w:pPr>
      <w:r>
        <w:rPr>
          <w:rFonts w:hint="eastAsia" w:ascii="仿宋_GB2312"/>
          <w:color w:val="auto"/>
          <w:sz w:val="24"/>
          <w:szCs w:val="24"/>
        </w:rPr>
        <w:t>②手册框架研讨</w:t>
      </w:r>
    </w:p>
    <w:p>
      <w:pPr>
        <w:spacing w:line="540" w:lineRule="exact"/>
        <w:ind w:firstLine="480" w:firstLineChars="200"/>
        <w:rPr>
          <w:rFonts w:ascii="仿宋_GB2312"/>
          <w:color w:val="auto"/>
          <w:sz w:val="24"/>
          <w:szCs w:val="24"/>
        </w:rPr>
      </w:pPr>
      <w:r>
        <w:rPr>
          <w:rFonts w:hint="eastAsia" w:ascii="仿宋_GB2312"/>
          <w:color w:val="auto"/>
          <w:sz w:val="24"/>
          <w:szCs w:val="24"/>
        </w:rPr>
        <w:t>③制定三年发展规划</w:t>
      </w:r>
    </w:p>
    <w:p>
      <w:pPr>
        <w:spacing w:line="540" w:lineRule="exact"/>
        <w:ind w:firstLine="482" w:firstLineChars="200"/>
        <w:rPr>
          <w:rFonts w:ascii="仿宋_GB2312"/>
          <w:b/>
          <w:color w:val="auto"/>
          <w:sz w:val="24"/>
          <w:szCs w:val="24"/>
        </w:rPr>
      </w:pPr>
      <w:r>
        <w:rPr>
          <w:rFonts w:hint="eastAsia" w:ascii="仿宋_GB2312"/>
          <w:b/>
          <w:color w:val="auto"/>
          <w:sz w:val="24"/>
          <w:szCs w:val="24"/>
        </w:rPr>
        <w:t>（2）2020年2月至2020年7月</w:t>
      </w:r>
    </w:p>
    <w:p>
      <w:pPr>
        <w:spacing w:line="540" w:lineRule="exact"/>
        <w:ind w:firstLine="480" w:firstLineChars="200"/>
        <w:rPr>
          <w:rFonts w:ascii="仿宋_GB2312"/>
          <w:color w:val="auto"/>
          <w:sz w:val="24"/>
          <w:szCs w:val="24"/>
        </w:rPr>
      </w:pPr>
      <w:r>
        <w:rPr>
          <w:rFonts w:hint="eastAsia" w:ascii="仿宋_GB2312"/>
          <w:color w:val="auto"/>
          <w:sz w:val="24"/>
          <w:szCs w:val="24"/>
        </w:rPr>
        <w:t>①提炼数学多元表征的内涵、特征与功能。</w:t>
      </w:r>
    </w:p>
    <w:p>
      <w:pPr>
        <w:spacing w:line="540" w:lineRule="exact"/>
        <w:ind w:firstLine="480" w:firstLineChars="200"/>
        <w:rPr>
          <w:rFonts w:ascii="仿宋_GB2312"/>
          <w:color w:val="auto"/>
          <w:sz w:val="24"/>
          <w:szCs w:val="24"/>
        </w:rPr>
      </w:pPr>
      <w:r>
        <w:rPr>
          <w:rFonts w:hint="eastAsia" w:ascii="仿宋_GB2312"/>
          <w:color w:val="auto"/>
          <w:sz w:val="24"/>
          <w:szCs w:val="24"/>
        </w:rPr>
        <w:t>②梳理双册教材例题“数与代数”领域的内容结构，结合日常课堂教学，设计多元表征例题教学活动、探索表征转换与转译的路径，提炼认知模型，形成多元表征双册例题教学手册初稿，邀请专家论证。</w:t>
      </w:r>
    </w:p>
    <w:tbl>
      <w:tblPr>
        <w:tblStyle w:val="5"/>
        <w:tblpPr w:leftFromText="180" w:rightFromText="180" w:vertAnchor="text" w:horzAnchor="margin" w:tblpXSpec="center" w:tblpY="196"/>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134"/>
        <w:gridCol w:w="2126"/>
        <w:gridCol w:w="1701"/>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134" w:type="dxa"/>
          </w:tcPr>
          <w:p>
            <w:pPr>
              <w:jc w:val="center"/>
              <w:rPr>
                <w:color w:val="auto"/>
                <w:sz w:val="21"/>
                <w:szCs w:val="21"/>
              </w:rPr>
            </w:pPr>
            <w:r>
              <w:rPr>
                <w:rFonts w:hint="eastAsia"/>
                <w:color w:val="auto"/>
                <w:sz w:val="21"/>
                <w:szCs w:val="21"/>
              </w:rPr>
              <w:t>册数单元</w:t>
            </w:r>
          </w:p>
        </w:tc>
        <w:tc>
          <w:tcPr>
            <w:tcW w:w="1134" w:type="dxa"/>
          </w:tcPr>
          <w:p>
            <w:pPr>
              <w:jc w:val="center"/>
              <w:rPr>
                <w:color w:val="auto"/>
                <w:sz w:val="21"/>
                <w:szCs w:val="21"/>
              </w:rPr>
            </w:pPr>
            <w:r>
              <w:rPr>
                <w:rFonts w:hint="eastAsia"/>
                <w:color w:val="auto"/>
                <w:sz w:val="21"/>
                <w:szCs w:val="21"/>
              </w:rPr>
              <w:t>例题</w:t>
            </w:r>
          </w:p>
        </w:tc>
        <w:tc>
          <w:tcPr>
            <w:tcW w:w="2126" w:type="dxa"/>
          </w:tcPr>
          <w:p>
            <w:pPr>
              <w:jc w:val="center"/>
              <w:rPr>
                <w:color w:val="auto"/>
                <w:sz w:val="21"/>
                <w:szCs w:val="21"/>
              </w:rPr>
            </w:pPr>
            <w:r>
              <w:rPr>
                <w:rFonts w:hint="eastAsia"/>
                <w:color w:val="auto"/>
                <w:sz w:val="21"/>
                <w:szCs w:val="21"/>
              </w:rPr>
              <w:t>多元表征教学</w:t>
            </w:r>
          </w:p>
        </w:tc>
        <w:tc>
          <w:tcPr>
            <w:tcW w:w="1701" w:type="dxa"/>
          </w:tcPr>
          <w:p>
            <w:pPr>
              <w:jc w:val="center"/>
              <w:rPr>
                <w:color w:val="auto"/>
                <w:sz w:val="21"/>
                <w:szCs w:val="21"/>
              </w:rPr>
            </w:pPr>
            <w:r>
              <w:rPr>
                <w:rFonts w:hint="eastAsia"/>
                <w:color w:val="auto"/>
                <w:sz w:val="21"/>
                <w:szCs w:val="21"/>
              </w:rPr>
              <w:t>表征转换与转译</w:t>
            </w:r>
          </w:p>
        </w:tc>
        <w:tc>
          <w:tcPr>
            <w:tcW w:w="1134" w:type="dxa"/>
          </w:tcPr>
          <w:p>
            <w:pPr>
              <w:jc w:val="center"/>
              <w:rPr>
                <w:color w:val="auto"/>
                <w:sz w:val="21"/>
                <w:szCs w:val="21"/>
              </w:rPr>
            </w:pPr>
            <w:r>
              <w:rPr>
                <w:rFonts w:hint="eastAsia"/>
                <w:color w:val="auto"/>
                <w:sz w:val="21"/>
                <w:szCs w:val="21"/>
              </w:rPr>
              <w:t>认知模型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rPr>
                <w:color w:val="auto"/>
                <w:sz w:val="21"/>
                <w:szCs w:val="21"/>
              </w:rPr>
            </w:pPr>
          </w:p>
        </w:tc>
        <w:tc>
          <w:tcPr>
            <w:tcW w:w="1134" w:type="dxa"/>
          </w:tcPr>
          <w:p>
            <w:pPr>
              <w:rPr>
                <w:color w:val="auto"/>
                <w:sz w:val="21"/>
                <w:szCs w:val="21"/>
              </w:rPr>
            </w:pPr>
          </w:p>
        </w:tc>
        <w:tc>
          <w:tcPr>
            <w:tcW w:w="2126" w:type="dxa"/>
          </w:tcPr>
          <w:p>
            <w:pPr>
              <w:rPr>
                <w:color w:val="auto"/>
                <w:sz w:val="21"/>
                <w:szCs w:val="21"/>
              </w:rPr>
            </w:pPr>
            <w:r>
              <w:rPr>
                <w:rFonts w:hint="eastAsia"/>
                <w:color w:val="auto"/>
                <w:sz w:val="21"/>
                <w:szCs w:val="21"/>
              </w:rPr>
              <w:t>（简要活动设计）</w:t>
            </w:r>
          </w:p>
        </w:tc>
        <w:tc>
          <w:tcPr>
            <w:tcW w:w="1701" w:type="dxa"/>
          </w:tcPr>
          <w:p>
            <w:pPr>
              <w:rPr>
                <w:color w:val="auto"/>
                <w:sz w:val="21"/>
                <w:szCs w:val="21"/>
              </w:rPr>
            </w:pPr>
            <w:r>
              <w:rPr>
                <w:rFonts w:hint="eastAsia"/>
                <w:color w:val="auto"/>
                <w:sz w:val="21"/>
                <w:szCs w:val="21"/>
              </w:rPr>
              <w:t>（路径设计）</w:t>
            </w:r>
          </w:p>
        </w:tc>
        <w:tc>
          <w:tcPr>
            <w:tcW w:w="1134" w:type="dxa"/>
          </w:tcPr>
          <w:p>
            <w:pPr>
              <w:rPr>
                <w:color w:val="auto"/>
                <w:sz w:val="21"/>
                <w:szCs w:val="21"/>
              </w:rPr>
            </w:pPr>
          </w:p>
        </w:tc>
      </w:tr>
    </w:tbl>
    <w:p>
      <w:pPr>
        <w:spacing w:line="540" w:lineRule="exact"/>
        <w:ind w:firstLine="480" w:firstLineChars="200"/>
        <w:rPr>
          <w:rFonts w:ascii="仿宋_GB2312"/>
          <w:color w:val="auto"/>
          <w:sz w:val="24"/>
          <w:szCs w:val="24"/>
        </w:rPr>
      </w:pPr>
      <w:r>
        <w:rPr>
          <w:rFonts w:hint="eastAsia" w:ascii="仿宋_GB2312"/>
          <w:color w:val="auto"/>
          <w:sz w:val="24"/>
          <w:szCs w:val="24"/>
        </w:rPr>
        <w:t>③从教学手册初稿中每月集中教学研讨2节课，共同研讨修订教学手册，形成样稿。</w:t>
      </w:r>
    </w:p>
    <w:p>
      <w:pPr>
        <w:spacing w:line="540" w:lineRule="exact"/>
        <w:ind w:firstLine="480" w:firstLineChars="200"/>
        <w:rPr>
          <w:rFonts w:ascii="仿宋_GB2312"/>
          <w:color w:val="auto"/>
          <w:sz w:val="24"/>
          <w:szCs w:val="24"/>
        </w:rPr>
      </w:pPr>
      <w:r>
        <w:rPr>
          <w:rFonts w:hint="eastAsia" w:ascii="仿宋_GB2312"/>
          <w:color w:val="auto"/>
          <w:sz w:val="24"/>
          <w:szCs w:val="24"/>
        </w:rPr>
        <w:t>④2020年6月至7月集中研讨沙龙：修正完善多元表征教学手册框架。</w:t>
      </w:r>
    </w:p>
    <w:p>
      <w:pPr>
        <w:spacing w:line="540" w:lineRule="exact"/>
        <w:ind w:firstLine="482" w:firstLineChars="200"/>
        <w:rPr>
          <w:rFonts w:ascii="仿宋_GB2312"/>
          <w:b/>
          <w:color w:val="auto"/>
          <w:sz w:val="24"/>
          <w:szCs w:val="24"/>
        </w:rPr>
      </w:pPr>
      <w:r>
        <w:rPr>
          <w:rFonts w:hint="eastAsia" w:ascii="仿宋_GB2312"/>
          <w:b/>
          <w:color w:val="auto"/>
          <w:sz w:val="24"/>
          <w:szCs w:val="24"/>
        </w:rPr>
        <w:t>（3）2020年8月至2021年1月</w:t>
      </w:r>
    </w:p>
    <w:p>
      <w:pPr>
        <w:spacing w:line="540" w:lineRule="exact"/>
        <w:ind w:firstLine="480" w:firstLineChars="200"/>
        <w:rPr>
          <w:rFonts w:ascii="仿宋_GB2312"/>
          <w:color w:val="auto"/>
          <w:sz w:val="24"/>
          <w:szCs w:val="24"/>
        </w:rPr>
      </w:pPr>
      <w:r>
        <w:rPr>
          <w:rFonts w:hint="eastAsia" w:ascii="仿宋_GB2312"/>
          <w:color w:val="auto"/>
          <w:sz w:val="24"/>
          <w:szCs w:val="24"/>
        </w:rPr>
        <w:t xml:space="preserve">①重点研究动作表征、图像表征、符号表征间的转译。 </w:t>
      </w:r>
    </w:p>
    <w:p>
      <w:pPr>
        <w:spacing w:line="540" w:lineRule="exact"/>
        <w:ind w:firstLine="480" w:firstLineChars="200"/>
        <w:rPr>
          <w:rFonts w:ascii="仿宋_GB2312"/>
          <w:color w:val="auto"/>
          <w:sz w:val="24"/>
          <w:szCs w:val="24"/>
        </w:rPr>
      </w:pPr>
      <w:r>
        <w:rPr>
          <w:rFonts w:hint="eastAsia" w:ascii="仿宋_GB2312"/>
          <w:color w:val="auto"/>
          <w:sz w:val="24"/>
          <w:szCs w:val="24"/>
        </w:rPr>
        <w:t xml:space="preserve">②梳理单册教材例题“数与代数”领域的内容结构，结合日常课堂教学，设计多元表征例题教学活动，形成表征转换与转译的路径，提炼认知模型，形成多元表征单册例题教学“数与代数”领域的手册样稿。 </w:t>
      </w:r>
    </w:p>
    <w:p>
      <w:pPr>
        <w:spacing w:line="540" w:lineRule="exact"/>
        <w:ind w:firstLine="480" w:firstLineChars="200"/>
        <w:rPr>
          <w:rFonts w:ascii="仿宋_GB2312"/>
          <w:color w:val="auto"/>
          <w:sz w:val="24"/>
          <w:szCs w:val="24"/>
        </w:rPr>
      </w:pPr>
      <w:r>
        <w:rPr>
          <w:rFonts w:hint="eastAsia" w:ascii="仿宋_GB2312"/>
          <w:color w:val="auto"/>
          <w:sz w:val="24"/>
          <w:szCs w:val="24"/>
        </w:rPr>
        <w:t xml:space="preserve">③从教学手册样稿中每月集中教学研讨2节课，共同研讨修订教学手册样稿。 </w:t>
      </w:r>
    </w:p>
    <w:p>
      <w:pPr>
        <w:spacing w:line="540" w:lineRule="exact"/>
        <w:ind w:firstLine="480" w:firstLineChars="200"/>
        <w:rPr>
          <w:rFonts w:ascii="仿宋_GB2312"/>
          <w:color w:val="auto"/>
          <w:sz w:val="24"/>
          <w:szCs w:val="24"/>
        </w:rPr>
      </w:pPr>
      <w:r>
        <w:rPr>
          <w:rFonts w:hint="eastAsia" w:ascii="仿宋_GB2312"/>
          <w:color w:val="auto"/>
          <w:sz w:val="24"/>
          <w:szCs w:val="24"/>
        </w:rPr>
        <w:t>④修订双册教材例题“数与代数”领域的手册样稿，举办基于多元表征视角的例题教材解读比赛。</w:t>
      </w:r>
    </w:p>
    <w:p>
      <w:pPr>
        <w:spacing w:line="540" w:lineRule="exact"/>
        <w:ind w:firstLine="480" w:firstLineChars="200"/>
        <w:rPr>
          <w:rFonts w:ascii="仿宋_GB2312"/>
          <w:color w:val="auto"/>
          <w:sz w:val="24"/>
          <w:szCs w:val="24"/>
        </w:rPr>
      </w:pPr>
      <w:r>
        <w:rPr>
          <w:rFonts w:hint="eastAsia" w:ascii="仿宋_GB2312"/>
          <w:color w:val="auto"/>
          <w:sz w:val="24"/>
          <w:szCs w:val="24"/>
        </w:rPr>
        <w:t xml:space="preserve">⑤2021年1月集中研讨沙龙，开展阶段反馈，邀请专家论证单册和双册教学手册。 </w:t>
      </w:r>
    </w:p>
    <w:p>
      <w:pPr>
        <w:spacing w:line="540" w:lineRule="exact"/>
        <w:ind w:firstLine="482" w:firstLineChars="200"/>
        <w:rPr>
          <w:rFonts w:ascii="仿宋_GB2312"/>
          <w:b/>
          <w:color w:val="auto"/>
          <w:sz w:val="24"/>
          <w:szCs w:val="24"/>
        </w:rPr>
      </w:pPr>
      <w:r>
        <w:rPr>
          <w:rFonts w:hint="eastAsia" w:ascii="仿宋_GB2312"/>
          <w:b/>
          <w:color w:val="auto"/>
          <w:sz w:val="24"/>
          <w:szCs w:val="24"/>
        </w:rPr>
        <w:t>（4）2021年2月至2021年7月</w:t>
      </w:r>
    </w:p>
    <w:p>
      <w:pPr>
        <w:spacing w:line="540" w:lineRule="exact"/>
        <w:ind w:firstLine="480" w:firstLineChars="200"/>
        <w:rPr>
          <w:rFonts w:ascii="仿宋_GB2312"/>
          <w:color w:val="auto"/>
          <w:sz w:val="24"/>
          <w:szCs w:val="24"/>
        </w:rPr>
      </w:pPr>
      <w:r>
        <w:rPr>
          <w:rFonts w:hint="eastAsia" w:ascii="仿宋_GB2312"/>
          <w:color w:val="auto"/>
          <w:sz w:val="24"/>
          <w:szCs w:val="24"/>
        </w:rPr>
        <w:t>①梳理双册教材例题“数与代数”领域的内容结构，开展日常课堂教学研究、每月集中研讨2节课，梳理内容结构，提炼认知模型，邀请专家论证。</w:t>
      </w:r>
    </w:p>
    <w:p>
      <w:pPr>
        <w:spacing w:line="540" w:lineRule="exact"/>
        <w:ind w:firstLine="480" w:firstLineChars="200"/>
        <w:rPr>
          <w:rFonts w:ascii="仿宋_GB2312"/>
          <w:color w:val="auto"/>
          <w:sz w:val="24"/>
          <w:szCs w:val="24"/>
        </w:rPr>
      </w:pPr>
      <w:r>
        <w:rPr>
          <w:rFonts w:hint="eastAsia" w:ascii="仿宋_GB2312"/>
          <w:color w:val="auto"/>
          <w:sz w:val="24"/>
          <w:szCs w:val="24"/>
        </w:rPr>
        <w:t>②修订单册教材例题“数与代数”领域中多元表征教学手册样稿。</w:t>
      </w:r>
    </w:p>
    <w:p>
      <w:pPr>
        <w:spacing w:line="540" w:lineRule="exact"/>
        <w:ind w:firstLine="480" w:firstLineChars="200"/>
        <w:rPr>
          <w:rFonts w:ascii="仿宋_GB2312"/>
          <w:color w:val="auto"/>
          <w:sz w:val="24"/>
          <w:szCs w:val="24"/>
        </w:rPr>
      </w:pPr>
      <w:r>
        <w:rPr>
          <w:rFonts w:hint="eastAsia" w:ascii="仿宋_GB2312"/>
          <w:color w:val="auto"/>
          <w:sz w:val="24"/>
          <w:szCs w:val="24"/>
        </w:rPr>
        <w:t>③组织师生调查问卷，开展多元表征的学习水平能力划分。</w:t>
      </w:r>
    </w:p>
    <w:p>
      <w:pPr>
        <w:spacing w:line="540" w:lineRule="exact"/>
        <w:ind w:firstLine="480" w:firstLineChars="200"/>
        <w:rPr>
          <w:rFonts w:ascii="仿宋_GB2312"/>
          <w:color w:val="auto"/>
          <w:sz w:val="24"/>
          <w:szCs w:val="24"/>
        </w:rPr>
      </w:pPr>
      <w:r>
        <w:rPr>
          <w:rFonts w:hint="eastAsia" w:ascii="仿宋_GB2312"/>
          <w:color w:val="auto"/>
          <w:sz w:val="24"/>
          <w:szCs w:val="24"/>
        </w:rPr>
        <w:t>④举办基于多元表征视角的例题教学比赛。</w:t>
      </w:r>
    </w:p>
    <w:p>
      <w:pPr>
        <w:spacing w:line="540" w:lineRule="exact"/>
        <w:ind w:firstLine="480" w:firstLineChars="200"/>
        <w:rPr>
          <w:rFonts w:ascii="仿宋_GB2312"/>
          <w:color w:val="auto"/>
          <w:sz w:val="24"/>
          <w:szCs w:val="24"/>
        </w:rPr>
      </w:pPr>
      <w:r>
        <w:rPr>
          <w:rFonts w:hint="eastAsia" w:ascii="仿宋_GB2312"/>
          <w:color w:val="auto"/>
          <w:sz w:val="24"/>
          <w:szCs w:val="24"/>
        </w:rPr>
        <w:t>⑤2021年7月三年发展规划中期沙龙，进行项目中期评估。</w:t>
      </w:r>
    </w:p>
    <w:p>
      <w:pPr>
        <w:spacing w:line="540" w:lineRule="exact"/>
        <w:ind w:firstLine="482" w:firstLineChars="200"/>
        <w:rPr>
          <w:rFonts w:ascii="仿宋_GB2312"/>
          <w:b/>
          <w:color w:val="auto"/>
          <w:sz w:val="24"/>
          <w:szCs w:val="24"/>
        </w:rPr>
      </w:pPr>
      <w:r>
        <w:rPr>
          <w:rFonts w:hint="eastAsia" w:ascii="仿宋_GB2312"/>
          <w:b/>
          <w:color w:val="auto"/>
          <w:sz w:val="24"/>
          <w:szCs w:val="24"/>
        </w:rPr>
        <w:t>（5）2021年8月至2022年7月</w:t>
      </w:r>
    </w:p>
    <w:p>
      <w:pPr>
        <w:spacing w:line="540" w:lineRule="exact"/>
        <w:ind w:firstLine="480" w:firstLineChars="200"/>
        <w:rPr>
          <w:rFonts w:ascii="仿宋_GB2312"/>
          <w:sz w:val="24"/>
          <w:szCs w:val="24"/>
        </w:rPr>
      </w:pPr>
      <w:r>
        <w:rPr>
          <w:rFonts w:hint="eastAsia" w:ascii="仿宋_GB2312"/>
          <w:color w:val="auto"/>
          <w:sz w:val="24"/>
          <w:szCs w:val="24"/>
        </w:rPr>
        <w:t>①梳理单、双册教材例题“图形与几何</w:t>
      </w:r>
      <w:r>
        <w:rPr>
          <w:rFonts w:hint="eastAsia" w:ascii="仿宋_GB2312"/>
          <w:sz w:val="24"/>
          <w:szCs w:val="24"/>
        </w:rPr>
        <w:t>”领域的内容结构，开展日常课堂教学研究、每月集中研讨2节课，梳理内容结构，提炼认知模型。</w:t>
      </w:r>
    </w:p>
    <w:p>
      <w:pPr>
        <w:spacing w:line="540" w:lineRule="exact"/>
        <w:ind w:firstLine="480" w:firstLineChars="200"/>
        <w:rPr>
          <w:rFonts w:ascii="仿宋_GB2312"/>
          <w:sz w:val="24"/>
          <w:szCs w:val="24"/>
        </w:rPr>
      </w:pPr>
      <w:r>
        <w:rPr>
          <w:rFonts w:hint="eastAsia" w:ascii="仿宋_GB2312"/>
          <w:sz w:val="24"/>
          <w:szCs w:val="24"/>
        </w:rPr>
        <w:t>②举办师生教学具制作比赛，研制多元表征评价题库。</w:t>
      </w:r>
    </w:p>
    <w:p>
      <w:pPr>
        <w:spacing w:line="540" w:lineRule="exact"/>
        <w:ind w:firstLine="480" w:firstLineChars="200"/>
        <w:rPr>
          <w:rFonts w:ascii="仿宋_GB2312"/>
          <w:sz w:val="24"/>
          <w:szCs w:val="24"/>
        </w:rPr>
      </w:pPr>
      <w:r>
        <w:rPr>
          <w:rFonts w:hint="eastAsia" w:ascii="仿宋_GB2312"/>
          <w:sz w:val="24"/>
          <w:szCs w:val="24"/>
        </w:rPr>
        <w:t>③修订单、双册教材例题中多元表征教学手册样稿，邀请专家论证。</w:t>
      </w:r>
    </w:p>
    <w:p>
      <w:pPr>
        <w:spacing w:line="540" w:lineRule="exact"/>
        <w:ind w:firstLine="480" w:firstLineChars="200"/>
        <w:rPr>
          <w:rFonts w:ascii="仿宋_GB2312"/>
          <w:sz w:val="24"/>
          <w:szCs w:val="24"/>
        </w:rPr>
      </w:pPr>
      <w:r>
        <w:rPr>
          <w:rFonts w:hint="eastAsia" w:ascii="仿宋_GB2312"/>
          <w:sz w:val="24"/>
          <w:szCs w:val="24"/>
        </w:rPr>
        <w:t>④举办区域性数学教材例题中多元表征的教学展示活动。</w:t>
      </w:r>
    </w:p>
    <w:p>
      <w:pPr>
        <w:spacing w:line="540" w:lineRule="exact"/>
        <w:ind w:firstLine="480" w:firstLineChars="200"/>
        <w:rPr>
          <w:rFonts w:ascii="仿宋_GB2312"/>
          <w:sz w:val="24"/>
          <w:szCs w:val="24"/>
        </w:rPr>
      </w:pPr>
      <w:r>
        <w:rPr>
          <w:rFonts w:hint="eastAsia" w:ascii="仿宋_GB2312"/>
          <w:sz w:val="24"/>
          <w:szCs w:val="24"/>
        </w:rPr>
        <w:t>⑤邀请专家论证项目建设实效。</w:t>
      </w:r>
    </w:p>
    <w:p>
      <w:pPr>
        <w:spacing w:line="540" w:lineRule="exact"/>
        <w:ind w:firstLine="482" w:firstLineChars="200"/>
        <w:rPr>
          <w:rFonts w:ascii="仿宋_GB2312"/>
          <w:b/>
          <w:sz w:val="24"/>
          <w:szCs w:val="24"/>
        </w:rPr>
      </w:pPr>
      <w:r>
        <w:rPr>
          <w:rFonts w:hint="eastAsia" w:ascii="仿宋_GB2312"/>
          <w:b/>
          <w:sz w:val="24"/>
          <w:szCs w:val="24"/>
        </w:rPr>
        <w:t>3．终期鉴定阶段（2022.8--2022.12）</w:t>
      </w:r>
    </w:p>
    <w:p>
      <w:pPr>
        <w:spacing w:line="540" w:lineRule="exact"/>
        <w:ind w:firstLine="482" w:firstLineChars="200"/>
        <w:rPr>
          <w:rFonts w:ascii="仿宋_GB2312"/>
          <w:b/>
          <w:sz w:val="24"/>
          <w:szCs w:val="24"/>
        </w:rPr>
      </w:pPr>
      <w:r>
        <w:rPr>
          <w:rFonts w:hint="eastAsia" w:ascii="仿宋_GB2312"/>
          <w:b/>
          <w:sz w:val="24"/>
          <w:szCs w:val="24"/>
        </w:rPr>
        <w:t>（1）2022年8月至2022年11月</w:t>
      </w:r>
    </w:p>
    <w:p>
      <w:pPr>
        <w:spacing w:line="540" w:lineRule="exact"/>
        <w:ind w:firstLine="480" w:firstLineChars="200"/>
        <w:rPr>
          <w:rFonts w:ascii="仿宋_GB2312"/>
          <w:sz w:val="24"/>
          <w:szCs w:val="24"/>
        </w:rPr>
      </w:pPr>
      <w:r>
        <w:rPr>
          <w:rFonts w:hint="eastAsia" w:ascii="仿宋_GB2312"/>
          <w:sz w:val="24"/>
          <w:szCs w:val="24"/>
        </w:rPr>
        <w:t>①回顾反思，继续修订手册，成果汇总展示，撰写项目建设总结报告。</w:t>
      </w:r>
    </w:p>
    <w:p>
      <w:pPr>
        <w:spacing w:line="540" w:lineRule="exact"/>
        <w:ind w:firstLine="480" w:firstLineChars="200"/>
        <w:rPr>
          <w:rFonts w:ascii="仿宋_GB2312"/>
          <w:sz w:val="24"/>
          <w:szCs w:val="24"/>
        </w:rPr>
      </w:pPr>
      <w:r>
        <w:rPr>
          <w:rFonts w:hint="eastAsia" w:ascii="仿宋_GB2312"/>
          <w:sz w:val="24"/>
          <w:szCs w:val="24"/>
        </w:rPr>
        <w:t>②营员三年发展规划终期评估。</w:t>
      </w:r>
    </w:p>
    <w:p>
      <w:pPr>
        <w:spacing w:line="540" w:lineRule="exact"/>
        <w:ind w:firstLine="480" w:firstLineChars="200"/>
        <w:rPr>
          <w:rFonts w:ascii="仿宋_GB2312"/>
          <w:sz w:val="24"/>
          <w:szCs w:val="24"/>
        </w:rPr>
      </w:pPr>
      <w:r>
        <w:rPr>
          <w:rFonts w:hint="eastAsia" w:ascii="仿宋_GB2312"/>
          <w:sz w:val="24"/>
          <w:szCs w:val="24"/>
        </w:rPr>
        <w:t>③成果汇报展示，进行推广辐射。</w:t>
      </w:r>
    </w:p>
    <w:p>
      <w:pPr>
        <w:spacing w:line="540" w:lineRule="exact"/>
        <w:ind w:firstLine="482" w:firstLineChars="200"/>
        <w:rPr>
          <w:rFonts w:ascii="仿宋_GB2312"/>
          <w:b/>
          <w:sz w:val="24"/>
          <w:szCs w:val="24"/>
        </w:rPr>
      </w:pPr>
      <w:r>
        <w:rPr>
          <w:rFonts w:hint="eastAsia" w:ascii="仿宋_GB2312"/>
          <w:b/>
          <w:sz w:val="24"/>
          <w:szCs w:val="24"/>
        </w:rPr>
        <w:t>（2）2022年12月</w:t>
      </w:r>
    </w:p>
    <w:p>
      <w:pPr>
        <w:spacing w:line="540" w:lineRule="exact"/>
        <w:ind w:firstLine="480" w:firstLineChars="200"/>
        <w:rPr>
          <w:rFonts w:ascii="仿宋_GB2312"/>
          <w:sz w:val="24"/>
          <w:szCs w:val="24"/>
        </w:rPr>
      </w:pPr>
      <w:r>
        <w:rPr>
          <w:rFonts w:hint="eastAsia" w:ascii="仿宋_GB2312"/>
          <w:sz w:val="24"/>
          <w:szCs w:val="24"/>
        </w:rPr>
        <w:t>项目建设资料分类归档，完善总结报告，开展终期评估。</w:t>
      </w:r>
    </w:p>
    <w:p>
      <w:pPr>
        <w:spacing w:line="540" w:lineRule="exact"/>
        <w:ind w:firstLine="482" w:firstLineChars="200"/>
        <w:rPr>
          <w:rFonts w:ascii="仿宋_GB2312"/>
          <w:b/>
          <w:sz w:val="24"/>
          <w:szCs w:val="24"/>
        </w:rPr>
      </w:pPr>
      <w:r>
        <w:rPr>
          <w:rFonts w:hint="eastAsia" w:ascii="仿宋_GB2312"/>
          <w:b/>
          <w:sz w:val="24"/>
          <w:szCs w:val="24"/>
        </w:rPr>
        <w:t>五</w:t>
      </w:r>
      <w:r>
        <w:rPr>
          <w:rFonts w:ascii="仿宋_GB2312"/>
          <w:b/>
          <w:sz w:val="24"/>
          <w:szCs w:val="24"/>
        </w:rPr>
        <w:t>.</w:t>
      </w:r>
      <w:r>
        <w:rPr>
          <w:rFonts w:hint="eastAsia" w:ascii="仿宋_GB2312"/>
          <w:b/>
          <w:sz w:val="24"/>
          <w:szCs w:val="24"/>
        </w:rPr>
        <w:t>预期成果及呈现方式</w:t>
      </w:r>
    </w:p>
    <w:p>
      <w:pPr>
        <w:spacing w:line="540" w:lineRule="exact"/>
        <w:rPr>
          <w:rFonts w:ascii="仿宋_GB2312"/>
          <w:sz w:val="24"/>
          <w:szCs w:val="24"/>
        </w:rPr>
      </w:pPr>
      <w:r>
        <w:rPr>
          <w:rFonts w:ascii="仿宋_GB2312"/>
          <w:sz w:val="24"/>
          <w:szCs w:val="24"/>
        </w:rPr>
        <w:t xml:space="preserve">   </w:t>
      </w:r>
      <w:r>
        <w:rPr>
          <w:rFonts w:hint="eastAsia" w:ascii="仿宋_GB2312"/>
          <w:sz w:val="24"/>
          <w:szCs w:val="24"/>
        </w:rPr>
        <w:t xml:space="preserve"> 调查报告：数学教材例题中多元表征教学应用的现状</w:t>
      </w:r>
    </w:p>
    <w:p>
      <w:pPr>
        <w:spacing w:line="540" w:lineRule="exact"/>
        <w:rPr>
          <w:rFonts w:ascii="仿宋_GB2312"/>
          <w:sz w:val="24"/>
          <w:szCs w:val="24"/>
        </w:rPr>
      </w:pPr>
      <w:r>
        <w:rPr>
          <w:rFonts w:hint="eastAsia" w:ascii="仿宋_GB2312"/>
          <w:sz w:val="24"/>
          <w:szCs w:val="24"/>
        </w:rPr>
        <w:t xml:space="preserve">    文献综述：数学多元表征研究综述</w:t>
      </w:r>
    </w:p>
    <w:p>
      <w:pPr>
        <w:spacing w:line="540" w:lineRule="exact"/>
        <w:rPr>
          <w:rFonts w:ascii="仿宋_GB2312"/>
          <w:sz w:val="24"/>
          <w:szCs w:val="24"/>
        </w:rPr>
      </w:pPr>
      <w:r>
        <w:rPr>
          <w:rFonts w:hint="eastAsia" w:ascii="仿宋_GB2312"/>
          <w:sz w:val="24"/>
          <w:szCs w:val="24"/>
        </w:rPr>
        <w:t xml:space="preserve">    例题范例：数学教材例题中多元表征教学的活动设计</w:t>
      </w:r>
    </w:p>
    <w:p>
      <w:pPr>
        <w:spacing w:line="540" w:lineRule="exact"/>
        <w:rPr>
          <w:rFonts w:ascii="仿宋_GB2312"/>
          <w:sz w:val="24"/>
          <w:szCs w:val="24"/>
        </w:rPr>
      </w:pPr>
      <w:r>
        <w:rPr>
          <w:rFonts w:hint="eastAsia" w:ascii="仿宋_GB2312"/>
          <w:sz w:val="24"/>
          <w:szCs w:val="24"/>
        </w:rPr>
        <w:t xml:space="preserve">    例题案例：数学教材例题中表征的转换与转译的路径设计</w:t>
      </w:r>
    </w:p>
    <w:p>
      <w:pPr>
        <w:spacing w:line="540" w:lineRule="exact"/>
        <w:rPr>
          <w:rFonts w:ascii="仿宋_GB2312"/>
          <w:sz w:val="24"/>
          <w:szCs w:val="24"/>
        </w:rPr>
      </w:pPr>
      <w:r>
        <w:rPr>
          <w:rFonts w:hint="eastAsia" w:ascii="仿宋_GB2312"/>
          <w:sz w:val="24"/>
          <w:szCs w:val="24"/>
        </w:rPr>
        <w:t xml:space="preserve">    核心论文：数学教材例题中多元表征的内涵、价值与教学启示</w:t>
      </w:r>
    </w:p>
    <w:p>
      <w:pPr>
        <w:spacing w:line="540" w:lineRule="exact"/>
        <w:rPr>
          <w:rFonts w:ascii="仿宋_GB2312"/>
          <w:sz w:val="24"/>
          <w:szCs w:val="24"/>
        </w:rPr>
      </w:pPr>
      <w:r>
        <w:rPr>
          <w:rFonts w:hint="eastAsia" w:ascii="仿宋_GB2312"/>
          <w:sz w:val="24"/>
          <w:szCs w:val="24"/>
        </w:rPr>
        <w:t xml:space="preserve">    例题手册：基于多元表征的中小学数学教材例题手册</w:t>
      </w:r>
    </w:p>
    <w:p>
      <w:pPr>
        <w:spacing w:line="540" w:lineRule="exact"/>
        <w:rPr>
          <w:rFonts w:ascii="仿宋_GB2312"/>
          <w:sz w:val="24"/>
          <w:szCs w:val="24"/>
        </w:rPr>
      </w:pPr>
      <w:r>
        <w:rPr>
          <w:rFonts w:hint="eastAsia" w:ascii="仿宋_GB2312"/>
          <w:sz w:val="24"/>
          <w:szCs w:val="24"/>
        </w:rPr>
        <w:t xml:space="preserve">    评估报告：数学教材例题中多元表征的教学手册研发项目评估报告</w:t>
      </w:r>
    </w:p>
    <w:p>
      <w:pPr>
        <w:spacing w:line="540" w:lineRule="exact"/>
        <w:rPr>
          <w:rFonts w:ascii="仿宋_GB2312"/>
          <w:b/>
          <w:sz w:val="24"/>
          <w:szCs w:val="24"/>
        </w:rPr>
      </w:pPr>
      <w:r>
        <w:rPr>
          <w:rFonts w:hint="eastAsia" w:ascii="仿宋_GB2312"/>
          <w:b/>
          <w:sz w:val="24"/>
          <w:szCs w:val="24"/>
        </w:rPr>
        <w:t xml:space="preserve">    六、保障与支持条件</w:t>
      </w:r>
    </w:p>
    <w:p>
      <w:pPr>
        <w:spacing w:line="540" w:lineRule="exact"/>
        <w:rPr>
          <w:rFonts w:ascii="仿宋_GB2312"/>
          <w:sz w:val="24"/>
          <w:szCs w:val="24"/>
        </w:rPr>
      </w:pPr>
      <w:r>
        <w:rPr>
          <w:rFonts w:ascii="仿宋_GB2312"/>
          <w:sz w:val="24"/>
          <w:szCs w:val="24"/>
        </w:rPr>
        <w:t xml:space="preserve">    </w:t>
      </w:r>
      <w:r>
        <w:rPr>
          <w:rFonts w:hint="eastAsia" w:ascii="仿宋_GB2312"/>
          <w:sz w:val="24"/>
          <w:szCs w:val="24"/>
        </w:rPr>
        <w:t>一是学校支持。成长营领衔人是新桥实验小学副校长，成长营员都是各校精推出来的，得到各校充分认可，能够保障研究的时间和空间。</w:t>
      </w:r>
    </w:p>
    <w:p>
      <w:pPr>
        <w:spacing w:line="540" w:lineRule="exact"/>
        <w:ind w:firstLine="480" w:firstLineChars="200"/>
        <w:rPr>
          <w:rFonts w:ascii="仿宋_GB2312"/>
          <w:sz w:val="24"/>
          <w:szCs w:val="24"/>
        </w:rPr>
      </w:pPr>
      <w:r>
        <w:rPr>
          <w:rFonts w:hint="eastAsia" w:ascii="仿宋_GB2312"/>
          <w:sz w:val="24"/>
          <w:szCs w:val="24"/>
        </w:rPr>
        <w:t>二是经费支撑。成长营每年都有经费的投入保障，保障了项目建设的正常开展与运行，便于购买书籍、外出培训，并对营员进行考核，对优秀营员进行相应表彰。</w:t>
      </w:r>
    </w:p>
    <w:p>
      <w:pPr>
        <w:spacing w:line="540" w:lineRule="exact"/>
        <w:ind w:firstLine="480" w:firstLineChars="200"/>
        <w:rPr>
          <w:rFonts w:ascii="仿宋_GB2312"/>
          <w:sz w:val="24"/>
          <w:szCs w:val="24"/>
        </w:rPr>
      </w:pPr>
      <w:r>
        <w:rPr>
          <w:rFonts w:hint="eastAsia" w:ascii="仿宋_GB2312"/>
          <w:sz w:val="24"/>
          <w:szCs w:val="24"/>
        </w:rPr>
        <w:t>三是智力支援。新北区教育局为成长营配备省市级导师，陈建伟校长为成长营蹲点教研员，再加领衔人是京苏粤浙卓越教师高端研修班学员，亦有省市级导师与学员人脉资源，有助实现理性与实践的双向跨越。</w:t>
      </w:r>
    </w:p>
    <w:p>
      <w:pPr>
        <w:spacing w:line="540" w:lineRule="exact"/>
        <w:ind w:firstLine="480" w:firstLineChars="200"/>
        <w:jc w:val="right"/>
        <w:rPr>
          <w:rFonts w:ascii="仿宋_GB2312"/>
          <w:sz w:val="24"/>
          <w:szCs w:val="24"/>
        </w:rPr>
      </w:pPr>
      <w:r>
        <w:rPr>
          <w:rFonts w:hint="eastAsia" w:ascii="仿宋_GB2312"/>
          <w:sz w:val="24"/>
          <w:szCs w:val="24"/>
        </w:rPr>
        <w:t>2021.02</w:t>
      </w:r>
    </w:p>
    <w:p>
      <w:pPr>
        <w:spacing w:line="540" w:lineRule="exact"/>
        <w:rPr>
          <w:rFonts w:ascii="仿宋_GB2312"/>
          <w:b/>
          <w:sz w:val="24"/>
          <w:szCs w:val="24"/>
        </w:rPr>
      </w:pPr>
      <w:r>
        <w:rPr>
          <w:rFonts w:hint="eastAsia" w:ascii="仿宋_GB2312"/>
          <w:b/>
          <w:sz w:val="24"/>
          <w:szCs w:val="24"/>
        </w:rPr>
        <w:t>附：2021年研修工作行事历</w:t>
      </w:r>
    </w:p>
    <w:tbl>
      <w:tblPr>
        <w:tblStyle w:val="5"/>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51"/>
        <w:gridCol w:w="3402"/>
        <w:gridCol w:w="1278"/>
        <w:gridCol w:w="99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gridSpan w:val="2"/>
            <w:vAlign w:val="center"/>
          </w:tcPr>
          <w:p>
            <w:pPr>
              <w:spacing w:line="300" w:lineRule="exact"/>
              <w:jc w:val="center"/>
              <w:rPr>
                <w:rFonts w:ascii="仿宋_GB2312"/>
                <w:sz w:val="24"/>
                <w:szCs w:val="24"/>
              </w:rPr>
            </w:pPr>
            <w:r>
              <w:rPr>
                <w:rFonts w:hint="eastAsia" w:ascii="仿宋_GB2312"/>
                <w:sz w:val="24"/>
                <w:szCs w:val="24"/>
              </w:rPr>
              <w:t>时间</w:t>
            </w:r>
          </w:p>
        </w:tc>
        <w:tc>
          <w:tcPr>
            <w:tcW w:w="3402" w:type="dxa"/>
            <w:vAlign w:val="center"/>
          </w:tcPr>
          <w:p>
            <w:pPr>
              <w:spacing w:line="300" w:lineRule="exact"/>
              <w:jc w:val="center"/>
              <w:rPr>
                <w:rFonts w:ascii="仿宋_GB2312"/>
                <w:sz w:val="24"/>
                <w:szCs w:val="24"/>
              </w:rPr>
            </w:pPr>
            <w:r>
              <w:rPr>
                <w:rFonts w:hint="eastAsia" w:ascii="仿宋_GB2312"/>
                <w:sz w:val="24"/>
                <w:szCs w:val="24"/>
              </w:rPr>
              <w:t>活动内容</w:t>
            </w:r>
          </w:p>
        </w:tc>
        <w:tc>
          <w:tcPr>
            <w:tcW w:w="1278" w:type="dxa"/>
            <w:vAlign w:val="center"/>
          </w:tcPr>
          <w:p>
            <w:pPr>
              <w:spacing w:line="300" w:lineRule="exact"/>
              <w:jc w:val="center"/>
              <w:rPr>
                <w:rFonts w:ascii="仿宋_GB2312"/>
                <w:sz w:val="24"/>
                <w:szCs w:val="24"/>
              </w:rPr>
            </w:pPr>
            <w:r>
              <w:rPr>
                <w:rFonts w:hint="eastAsia" w:ascii="仿宋_GB2312"/>
                <w:sz w:val="24"/>
                <w:szCs w:val="24"/>
              </w:rPr>
              <w:t>所属模块</w:t>
            </w:r>
          </w:p>
        </w:tc>
        <w:tc>
          <w:tcPr>
            <w:tcW w:w="990" w:type="dxa"/>
            <w:vAlign w:val="center"/>
          </w:tcPr>
          <w:p>
            <w:pPr>
              <w:spacing w:line="300" w:lineRule="exact"/>
              <w:jc w:val="center"/>
              <w:rPr>
                <w:rFonts w:ascii="仿宋_GB2312"/>
                <w:sz w:val="24"/>
                <w:szCs w:val="24"/>
              </w:rPr>
            </w:pPr>
            <w:r>
              <w:rPr>
                <w:rFonts w:hint="eastAsia" w:ascii="仿宋_GB2312"/>
                <w:sz w:val="24"/>
                <w:szCs w:val="24"/>
              </w:rPr>
              <w:t>天数</w:t>
            </w:r>
          </w:p>
        </w:tc>
        <w:tc>
          <w:tcPr>
            <w:tcW w:w="1701" w:type="dxa"/>
            <w:vAlign w:val="center"/>
          </w:tcPr>
          <w:p>
            <w:pPr>
              <w:spacing w:line="300" w:lineRule="exact"/>
              <w:jc w:val="center"/>
              <w:rPr>
                <w:rFonts w:ascii="仿宋_GB2312"/>
                <w:sz w:val="24"/>
                <w:szCs w:val="24"/>
              </w:rPr>
            </w:pPr>
            <w:r>
              <w:rPr>
                <w:rFonts w:hint="eastAsia" w:ascii="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spacing w:line="300" w:lineRule="exact"/>
              <w:jc w:val="center"/>
              <w:rPr>
                <w:rFonts w:ascii="仿宋_GB2312"/>
                <w:sz w:val="24"/>
                <w:szCs w:val="24"/>
              </w:rPr>
            </w:pPr>
            <w:r>
              <w:rPr>
                <w:rFonts w:hint="eastAsia" w:ascii="仿宋_GB2312"/>
                <w:sz w:val="24"/>
                <w:szCs w:val="24"/>
              </w:rPr>
              <w:t>202</w:t>
            </w:r>
            <w:r>
              <w:rPr>
                <w:rFonts w:hint="eastAsia" w:ascii="仿宋_GB2312"/>
                <w:sz w:val="24"/>
                <w:szCs w:val="24"/>
                <w:lang w:val="en-US" w:eastAsia="zh-CN"/>
              </w:rPr>
              <w:t>1</w:t>
            </w:r>
            <w:r>
              <w:rPr>
                <w:rFonts w:hint="eastAsia" w:ascii="仿宋_GB2312"/>
                <w:sz w:val="24"/>
                <w:szCs w:val="24"/>
              </w:rPr>
              <w:t>年</w:t>
            </w: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1-2月</w:t>
            </w:r>
          </w:p>
        </w:tc>
        <w:tc>
          <w:tcPr>
            <w:tcW w:w="3402" w:type="dxa"/>
          </w:tcPr>
          <w:p>
            <w:pPr>
              <w:spacing w:line="300" w:lineRule="exact"/>
              <w:rPr>
                <w:rFonts w:ascii="仿宋_GB2312"/>
                <w:sz w:val="24"/>
                <w:szCs w:val="24"/>
              </w:rPr>
            </w:pPr>
            <w:r>
              <w:rPr>
                <w:rFonts w:hint="eastAsia"/>
                <w:sz w:val="24"/>
                <w:szCs w:val="24"/>
              </w:rPr>
              <w:t>多元表征视角的专业表达：论文写作讲座与文稿论证</w:t>
            </w:r>
          </w:p>
        </w:tc>
        <w:tc>
          <w:tcPr>
            <w:tcW w:w="1278" w:type="dxa"/>
            <w:vAlign w:val="center"/>
          </w:tcPr>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2</w:t>
            </w:r>
          </w:p>
        </w:tc>
        <w:tc>
          <w:tcPr>
            <w:tcW w:w="1701" w:type="dxa"/>
            <w:vAlign w:val="center"/>
          </w:tcPr>
          <w:p>
            <w:pPr>
              <w:spacing w:line="300" w:lineRule="exact"/>
              <w:jc w:val="center"/>
              <w:rPr>
                <w:rFonts w:ascii="仿宋_GB2312"/>
                <w:sz w:val="24"/>
                <w:szCs w:val="24"/>
              </w:rPr>
            </w:pPr>
            <w:r>
              <w:rPr>
                <w:rFonts w:hint="eastAsia" w:ascii="仿宋_GB2312"/>
                <w:sz w:val="24"/>
                <w:szCs w:val="24"/>
              </w:rPr>
              <w:t>第一次集中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vAlign w:val="center"/>
          </w:tcPr>
          <w:p>
            <w:pPr>
              <w:spacing w:line="300" w:lineRule="exact"/>
              <w:rPr>
                <w:rFonts w:ascii="仿宋_GB2312"/>
                <w:sz w:val="24"/>
                <w:szCs w:val="24"/>
              </w:rPr>
            </w:pPr>
            <w:r>
              <w:rPr>
                <w:rFonts w:hint="eastAsia" w:ascii="仿宋_GB2312"/>
                <w:sz w:val="24"/>
                <w:szCs w:val="24"/>
              </w:rPr>
              <w:t>蓝天杯教学设计</w:t>
            </w:r>
          </w:p>
        </w:tc>
        <w:tc>
          <w:tcPr>
            <w:tcW w:w="1278" w:type="dxa"/>
            <w:vAlign w:val="center"/>
          </w:tcPr>
          <w:p>
            <w:pPr>
              <w:spacing w:line="300" w:lineRule="exact"/>
              <w:jc w:val="center"/>
              <w:rPr>
                <w:rFonts w:hint="eastAsia" w:ascii="仿宋_GB2312"/>
                <w:sz w:val="24"/>
                <w:szCs w:val="24"/>
              </w:rPr>
            </w:pPr>
            <w:r>
              <w:rPr>
                <w:rFonts w:hint="eastAsia" w:ascii="仿宋_GB2312"/>
                <w:sz w:val="24"/>
                <w:szCs w:val="24"/>
              </w:rPr>
              <w:t>网络研讨</w:t>
            </w:r>
          </w:p>
          <w:p>
            <w:pPr>
              <w:spacing w:line="300" w:lineRule="exact"/>
              <w:jc w:val="center"/>
              <w:rPr>
                <w:rFonts w:ascii="仿宋_GB2312"/>
                <w:sz w:val="24"/>
                <w:szCs w:val="24"/>
              </w:rPr>
            </w:pPr>
            <w:r>
              <w:rPr>
                <w:rFonts w:hint="eastAsia" w:ascii="仿宋_GB2312"/>
                <w:sz w:val="24"/>
                <w:szCs w:val="24"/>
              </w:rPr>
              <w:t>课例研究</w:t>
            </w:r>
          </w:p>
        </w:tc>
        <w:tc>
          <w:tcPr>
            <w:tcW w:w="990" w:type="dxa"/>
            <w:vAlign w:val="center"/>
          </w:tcPr>
          <w:p>
            <w:pPr>
              <w:spacing w:line="300" w:lineRule="exact"/>
              <w:jc w:val="center"/>
              <w:rPr>
                <w:rFonts w:hint="eastAsia" w:ascii="仿宋_GB2312"/>
                <w:sz w:val="24"/>
                <w:szCs w:val="24"/>
              </w:rPr>
            </w:pPr>
            <w:r>
              <w:rPr>
                <w:rFonts w:hint="eastAsia" w:ascii="仿宋_GB2312"/>
                <w:sz w:val="24"/>
                <w:szCs w:val="24"/>
              </w:rPr>
              <w:t>0.5</w:t>
            </w:r>
          </w:p>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hint="eastAsia" w:ascii="仿宋_GB2312"/>
                <w:sz w:val="24"/>
                <w:szCs w:val="24"/>
              </w:rPr>
            </w:pPr>
          </w:p>
          <w:p>
            <w:pPr>
              <w:spacing w:line="300" w:lineRule="exact"/>
              <w:jc w:val="center"/>
              <w:rPr>
                <w:rFonts w:ascii="仿宋_GB2312"/>
                <w:sz w:val="24"/>
                <w:szCs w:val="24"/>
              </w:rPr>
            </w:pPr>
            <w:r>
              <w:rPr>
                <w:rFonts w:hint="eastAsia" w:ascii="仿宋_GB2312"/>
                <w:sz w:val="24"/>
                <w:szCs w:val="24"/>
              </w:rPr>
              <w:t>第二次集中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3月</w:t>
            </w:r>
          </w:p>
        </w:tc>
        <w:tc>
          <w:tcPr>
            <w:tcW w:w="3402" w:type="dxa"/>
          </w:tcPr>
          <w:p>
            <w:pPr>
              <w:spacing w:line="300" w:lineRule="exact"/>
              <w:rPr>
                <w:rFonts w:ascii="仿宋_GB2312"/>
                <w:sz w:val="24"/>
                <w:szCs w:val="24"/>
              </w:rPr>
            </w:pPr>
            <w:r>
              <w:rPr>
                <w:rFonts w:hint="eastAsia" w:ascii="仿宋_GB2312"/>
                <w:sz w:val="24"/>
                <w:szCs w:val="24"/>
              </w:rPr>
              <w:t>1.研讨课</w:t>
            </w:r>
          </w:p>
          <w:p>
            <w:pPr>
              <w:spacing w:line="300" w:lineRule="exact"/>
              <w:rPr>
                <w:rFonts w:ascii="仿宋_GB2312"/>
                <w:sz w:val="24"/>
                <w:szCs w:val="24"/>
              </w:rPr>
            </w:pPr>
            <w:r>
              <w:rPr>
                <w:rFonts w:hint="eastAsia" w:ascii="仿宋_GB2312"/>
                <w:sz w:val="24"/>
                <w:szCs w:val="24"/>
              </w:rPr>
              <w:t xml:space="preserve">2.内容结构框架讨论 </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第三次集中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分组梳理双册教材例题“数与代数”领域的内容结构框架</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网络研讨</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4月</w:t>
            </w:r>
          </w:p>
        </w:tc>
        <w:tc>
          <w:tcPr>
            <w:tcW w:w="3402" w:type="dxa"/>
          </w:tcPr>
          <w:p>
            <w:pPr>
              <w:spacing w:line="300" w:lineRule="exact"/>
              <w:rPr>
                <w:rFonts w:ascii="仿宋_GB2312"/>
                <w:sz w:val="24"/>
                <w:szCs w:val="24"/>
              </w:rPr>
            </w:pPr>
            <w:r>
              <w:rPr>
                <w:rFonts w:hint="eastAsia" w:ascii="仿宋_GB2312"/>
                <w:sz w:val="24"/>
                <w:szCs w:val="24"/>
              </w:rPr>
              <w:t>1.研讨课</w:t>
            </w:r>
          </w:p>
          <w:p>
            <w:pPr>
              <w:spacing w:line="300" w:lineRule="exact"/>
              <w:rPr>
                <w:rFonts w:ascii="仿宋_GB2312"/>
                <w:sz w:val="24"/>
                <w:szCs w:val="24"/>
              </w:rPr>
            </w:pPr>
            <w:r>
              <w:rPr>
                <w:rFonts w:hint="eastAsia" w:ascii="仿宋_GB2312"/>
                <w:sz w:val="24"/>
                <w:szCs w:val="24"/>
              </w:rPr>
              <w:t>2.专家讲座</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第四次集中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hint="eastAsia" w:ascii="仿宋_GB2312"/>
                <w:sz w:val="24"/>
                <w:szCs w:val="24"/>
              </w:rPr>
            </w:pPr>
          </w:p>
        </w:tc>
        <w:tc>
          <w:tcPr>
            <w:tcW w:w="3402" w:type="dxa"/>
          </w:tcPr>
          <w:p>
            <w:pPr>
              <w:spacing w:line="300" w:lineRule="exact"/>
              <w:rPr>
                <w:rFonts w:hint="eastAsia" w:ascii="仿宋_GB2312"/>
                <w:sz w:val="24"/>
                <w:szCs w:val="24"/>
              </w:rPr>
            </w:pPr>
            <w:r>
              <w:rPr>
                <w:rFonts w:hint="eastAsia" w:ascii="仿宋_GB2312"/>
                <w:sz w:val="24"/>
                <w:szCs w:val="24"/>
              </w:rPr>
              <w:t>研讨双册教材例题“数与代数”领域的内容结构框架</w:t>
            </w:r>
          </w:p>
        </w:tc>
        <w:tc>
          <w:tcPr>
            <w:tcW w:w="1278" w:type="dxa"/>
            <w:vAlign w:val="center"/>
          </w:tcPr>
          <w:p>
            <w:pPr>
              <w:spacing w:line="300" w:lineRule="exact"/>
              <w:jc w:val="center"/>
              <w:rPr>
                <w:rFonts w:hint="eastAsia"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hint="eastAsia" w:ascii="仿宋_GB2312"/>
                <w:sz w:val="24"/>
                <w:szCs w:val="24"/>
              </w:rPr>
            </w:pPr>
            <w:r>
              <w:rPr>
                <w:rFonts w:hint="eastAsia" w:ascii="仿宋_GB2312"/>
                <w:sz w:val="24"/>
                <w:szCs w:val="24"/>
              </w:rPr>
              <w:t>0.5</w:t>
            </w:r>
          </w:p>
        </w:tc>
        <w:tc>
          <w:tcPr>
            <w:tcW w:w="1701" w:type="dxa"/>
            <w:vAlign w:val="center"/>
          </w:tcPr>
          <w:p>
            <w:pPr>
              <w:spacing w:line="300" w:lineRule="exact"/>
              <w:jc w:val="center"/>
              <w:rPr>
                <w:rFonts w:hint="eastAsia" w:ascii="仿宋_GB2312"/>
                <w:sz w:val="24"/>
                <w:szCs w:val="24"/>
              </w:rPr>
            </w:pPr>
            <w:r>
              <w:rPr>
                <w:rFonts w:hint="eastAsia" w:ascii="仿宋_GB2312"/>
                <w:sz w:val="24"/>
                <w:szCs w:val="24"/>
              </w:rPr>
              <w:t>第五次集中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理论学习</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网络研修</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5月</w:t>
            </w:r>
          </w:p>
        </w:tc>
        <w:tc>
          <w:tcPr>
            <w:tcW w:w="3402" w:type="dxa"/>
          </w:tcPr>
          <w:p>
            <w:pPr>
              <w:spacing w:line="300" w:lineRule="exact"/>
              <w:rPr>
                <w:rFonts w:ascii="仿宋_GB2312"/>
                <w:sz w:val="24"/>
                <w:szCs w:val="24"/>
              </w:rPr>
            </w:pPr>
            <w:r>
              <w:rPr>
                <w:rFonts w:hint="eastAsia" w:ascii="仿宋_GB2312"/>
                <w:sz w:val="24"/>
                <w:szCs w:val="24"/>
              </w:rPr>
              <w:t>1.研讨课（提炼认知模型）</w:t>
            </w:r>
          </w:p>
          <w:p>
            <w:pPr>
              <w:spacing w:line="300" w:lineRule="exact"/>
              <w:rPr>
                <w:rFonts w:ascii="仿宋_GB2312"/>
                <w:sz w:val="24"/>
                <w:szCs w:val="24"/>
              </w:rPr>
            </w:pPr>
            <w:r>
              <w:rPr>
                <w:rFonts w:hint="eastAsia" w:ascii="仿宋_GB2312"/>
                <w:sz w:val="24"/>
                <w:szCs w:val="24"/>
              </w:rPr>
              <w:t>2.研讨双册教材例题“数与代数”领域的手册样稿</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第六次集中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理论学习</w:t>
            </w:r>
            <w:r>
              <w:rPr>
                <w:rFonts w:ascii="仿宋_GB2312"/>
                <w:sz w:val="24"/>
                <w:szCs w:val="24"/>
              </w:rPr>
              <w:t xml:space="preserve"> </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网络研修</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6月</w:t>
            </w:r>
          </w:p>
        </w:tc>
        <w:tc>
          <w:tcPr>
            <w:tcW w:w="3402" w:type="dxa"/>
          </w:tcPr>
          <w:p>
            <w:pPr>
              <w:spacing w:line="300" w:lineRule="exact"/>
              <w:rPr>
                <w:rFonts w:ascii="仿宋_GB2312"/>
                <w:sz w:val="24"/>
                <w:szCs w:val="24"/>
              </w:rPr>
            </w:pPr>
            <w:r>
              <w:rPr>
                <w:rFonts w:hint="eastAsia" w:ascii="仿宋_GB2312"/>
                <w:sz w:val="24"/>
                <w:szCs w:val="24"/>
              </w:rPr>
              <w:t>1.研讨课</w:t>
            </w:r>
          </w:p>
          <w:p>
            <w:pPr>
              <w:spacing w:line="300" w:lineRule="exact"/>
              <w:rPr>
                <w:rFonts w:ascii="仿宋_GB2312"/>
                <w:sz w:val="24"/>
                <w:szCs w:val="24"/>
              </w:rPr>
            </w:pPr>
            <w:r>
              <w:rPr>
                <w:rFonts w:hint="eastAsia" w:ascii="仿宋_GB2312"/>
                <w:sz w:val="24"/>
                <w:szCs w:val="24"/>
              </w:rPr>
              <w:t>2.研讨双册教材例题“数与代数”领域的手册样稿</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第七次集中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基于多元表征的例题教学具比赛</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网络竞赛</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Align w:val="center"/>
          </w:tcPr>
          <w:p>
            <w:pPr>
              <w:spacing w:line="300" w:lineRule="exact"/>
              <w:jc w:val="center"/>
              <w:rPr>
                <w:rFonts w:ascii="仿宋_GB2312"/>
                <w:sz w:val="24"/>
                <w:szCs w:val="24"/>
              </w:rPr>
            </w:pPr>
            <w:r>
              <w:rPr>
                <w:rFonts w:hint="eastAsia" w:ascii="仿宋_GB2312"/>
                <w:sz w:val="24"/>
                <w:szCs w:val="24"/>
              </w:rPr>
              <w:t>7月</w:t>
            </w:r>
          </w:p>
        </w:tc>
        <w:tc>
          <w:tcPr>
            <w:tcW w:w="3402" w:type="dxa"/>
          </w:tcPr>
          <w:p>
            <w:pPr>
              <w:spacing w:line="300" w:lineRule="exact"/>
              <w:rPr>
                <w:rFonts w:ascii="仿宋_GB2312"/>
                <w:sz w:val="24"/>
                <w:szCs w:val="24"/>
              </w:rPr>
            </w:pPr>
            <w:r>
              <w:rPr>
                <w:rFonts w:hint="eastAsia" w:ascii="仿宋_GB2312"/>
                <w:sz w:val="24"/>
                <w:szCs w:val="24"/>
              </w:rPr>
              <w:t>1.与市外培育站联合培训</w:t>
            </w:r>
          </w:p>
          <w:p>
            <w:pPr>
              <w:spacing w:line="300" w:lineRule="exact"/>
              <w:rPr>
                <w:rFonts w:ascii="仿宋_GB2312"/>
                <w:sz w:val="24"/>
                <w:szCs w:val="24"/>
              </w:rPr>
            </w:pPr>
            <w:r>
              <w:rPr>
                <w:rFonts w:hint="eastAsia" w:ascii="仿宋_GB2312"/>
                <w:sz w:val="24"/>
                <w:szCs w:val="24"/>
              </w:rPr>
              <w:t>2.研讨完善双册教材例题“数与代数”领域的手册样稿</w:t>
            </w:r>
          </w:p>
        </w:tc>
        <w:tc>
          <w:tcPr>
            <w:tcW w:w="1278" w:type="dxa"/>
            <w:vAlign w:val="center"/>
          </w:tcPr>
          <w:p>
            <w:pPr>
              <w:spacing w:line="300" w:lineRule="exact"/>
              <w:jc w:val="center"/>
              <w:rPr>
                <w:rFonts w:ascii="仿宋_GB2312"/>
                <w:sz w:val="24"/>
                <w:szCs w:val="24"/>
              </w:rPr>
            </w:pPr>
            <w:r>
              <w:rPr>
                <w:rFonts w:hint="eastAsia" w:ascii="仿宋_GB2312"/>
                <w:sz w:val="24"/>
                <w:szCs w:val="24"/>
              </w:rPr>
              <w:t>联合培训</w:t>
            </w:r>
          </w:p>
        </w:tc>
        <w:tc>
          <w:tcPr>
            <w:tcW w:w="990" w:type="dxa"/>
            <w:vAlign w:val="center"/>
          </w:tcPr>
          <w:p>
            <w:pPr>
              <w:spacing w:line="300" w:lineRule="exact"/>
              <w:jc w:val="center"/>
              <w:rPr>
                <w:rFonts w:ascii="仿宋_GB2312"/>
                <w:sz w:val="24"/>
                <w:szCs w:val="24"/>
              </w:rPr>
            </w:pPr>
            <w:r>
              <w:rPr>
                <w:rFonts w:hint="eastAsia" w:ascii="仿宋_GB2312"/>
                <w:sz w:val="24"/>
                <w:szCs w:val="24"/>
              </w:rPr>
              <w:t>3.0</w:t>
            </w:r>
          </w:p>
        </w:tc>
        <w:tc>
          <w:tcPr>
            <w:tcW w:w="1701" w:type="dxa"/>
            <w:vAlign w:val="center"/>
          </w:tcPr>
          <w:p>
            <w:pPr>
              <w:spacing w:line="300" w:lineRule="exact"/>
              <w:jc w:val="center"/>
              <w:rPr>
                <w:rFonts w:ascii="仿宋_GB2312"/>
                <w:sz w:val="24"/>
                <w:szCs w:val="24"/>
              </w:rPr>
            </w:pPr>
            <w:r>
              <w:rPr>
                <w:rFonts w:hint="eastAsia" w:ascii="仿宋_GB2312"/>
                <w:sz w:val="24"/>
                <w:szCs w:val="24"/>
              </w:rPr>
              <w:t>第八次集中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8月</w:t>
            </w:r>
          </w:p>
        </w:tc>
        <w:tc>
          <w:tcPr>
            <w:tcW w:w="3402" w:type="dxa"/>
          </w:tcPr>
          <w:p>
            <w:pPr>
              <w:spacing w:line="300" w:lineRule="exact"/>
              <w:rPr>
                <w:rFonts w:ascii="仿宋_GB2312"/>
                <w:sz w:val="24"/>
                <w:szCs w:val="24"/>
              </w:rPr>
            </w:pPr>
            <w:r>
              <w:rPr>
                <w:rFonts w:hint="eastAsia" w:ascii="仿宋_GB2312"/>
                <w:sz w:val="24"/>
                <w:szCs w:val="24"/>
              </w:rPr>
              <w:t>1.微课题研究指导</w:t>
            </w:r>
          </w:p>
          <w:p>
            <w:pPr>
              <w:spacing w:line="300" w:lineRule="exact"/>
              <w:rPr>
                <w:rFonts w:ascii="仿宋_GB2312"/>
                <w:sz w:val="24"/>
                <w:szCs w:val="24"/>
              </w:rPr>
            </w:pPr>
            <w:r>
              <w:rPr>
                <w:rFonts w:hint="eastAsia" w:ascii="仿宋_GB2312"/>
                <w:sz w:val="24"/>
                <w:szCs w:val="24"/>
              </w:rPr>
              <w:t>2.理论沙龙：动作表征、图像表征、符号表征间的转译</w:t>
            </w:r>
          </w:p>
        </w:tc>
        <w:tc>
          <w:tcPr>
            <w:tcW w:w="1278" w:type="dxa"/>
            <w:vAlign w:val="center"/>
          </w:tcPr>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2.0</w:t>
            </w:r>
          </w:p>
        </w:tc>
        <w:tc>
          <w:tcPr>
            <w:tcW w:w="1701" w:type="dxa"/>
            <w:vAlign w:val="center"/>
          </w:tcPr>
          <w:p>
            <w:pPr>
              <w:spacing w:line="300" w:lineRule="exact"/>
              <w:jc w:val="center"/>
              <w:rPr>
                <w:rFonts w:ascii="仿宋_GB2312"/>
                <w:sz w:val="24"/>
                <w:szCs w:val="24"/>
              </w:rPr>
            </w:pPr>
            <w:r>
              <w:rPr>
                <w:rFonts w:hint="eastAsia" w:ascii="仿宋_GB2312"/>
                <w:sz w:val="24"/>
                <w:szCs w:val="24"/>
              </w:rPr>
              <w:t>第九次集中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理论学习：多元表征与教学</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网络研修</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9月</w:t>
            </w:r>
          </w:p>
        </w:tc>
        <w:tc>
          <w:tcPr>
            <w:tcW w:w="3402" w:type="dxa"/>
          </w:tcPr>
          <w:p>
            <w:pPr>
              <w:spacing w:line="300" w:lineRule="exact"/>
              <w:rPr>
                <w:rFonts w:ascii="仿宋_GB2312"/>
                <w:sz w:val="24"/>
                <w:szCs w:val="24"/>
              </w:rPr>
            </w:pPr>
            <w:r>
              <w:rPr>
                <w:rFonts w:hint="eastAsia" w:ascii="仿宋_GB2312"/>
                <w:sz w:val="24"/>
                <w:szCs w:val="24"/>
              </w:rPr>
              <w:t>1.研讨课（几何与图形领域）</w:t>
            </w:r>
          </w:p>
          <w:p>
            <w:pPr>
              <w:spacing w:line="300" w:lineRule="exact"/>
              <w:rPr>
                <w:rFonts w:ascii="仿宋_GB2312"/>
                <w:sz w:val="24"/>
                <w:szCs w:val="24"/>
              </w:rPr>
            </w:pPr>
            <w:r>
              <w:rPr>
                <w:rFonts w:hint="eastAsia" w:ascii="仿宋_GB2312"/>
                <w:sz w:val="24"/>
                <w:szCs w:val="24"/>
              </w:rPr>
              <w:t>2.研讨单册教材例题“几何与图形”领域的内容结构框架</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第十次集中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理论学习：多元表征</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网络研修</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10月</w:t>
            </w:r>
          </w:p>
        </w:tc>
        <w:tc>
          <w:tcPr>
            <w:tcW w:w="3402" w:type="dxa"/>
          </w:tcPr>
          <w:p>
            <w:pPr>
              <w:spacing w:line="300" w:lineRule="exact"/>
              <w:rPr>
                <w:rFonts w:ascii="仿宋_GB2312"/>
                <w:sz w:val="24"/>
                <w:szCs w:val="24"/>
              </w:rPr>
            </w:pPr>
            <w:r>
              <w:rPr>
                <w:rFonts w:hint="eastAsia" w:ascii="仿宋_GB2312"/>
                <w:sz w:val="24"/>
                <w:szCs w:val="24"/>
              </w:rPr>
              <w:t>1.研讨课（几何与图形领域）</w:t>
            </w:r>
          </w:p>
          <w:p>
            <w:pPr>
              <w:spacing w:line="300" w:lineRule="exact"/>
              <w:rPr>
                <w:rFonts w:hint="eastAsia" w:ascii="仿宋_GB2312"/>
                <w:sz w:val="24"/>
                <w:szCs w:val="24"/>
              </w:rPr>
            </w:pPr>
            <w:r>
              <w:rPr>
                <w:rFonts w:hint="eastAsia" w:ascii="仿宋_GB2312"/>
                <w:sz w:val="24"/>
                <w:szCs w:val="24"/>
              </w:rPr>
              <w:t>2.研讨单册教材例题“几何与图形”领域的内容结构框架</w:t>
            </w:r>
          </w:p>
          <w:p>
            <w:pPr>
              <w:spacing w:line="300" w:lineRule="exact"/>
              <w:rPr>
                <w:rFonts w:ascii="仿宋_GB2312"/>
                <w:sz w:val="24"/>
                <w:szCs w:val="24"/>
              </w:rPr>
            </w:pPr>
            <w:r>
              <w:rPr>
                <w:rFonts w:hint="eastAsia" w:ascii="仿宋_GB2312"/>
                <w:sz w:val="24"/>
                <w:szCs w:val="24"/>
              </w:rPr>
              <w:t>3.专家讲座</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第十一次集中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完善单册教材例题“几何与图形”领域的内容结构框架</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网络研讨</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11月</w:t>
            </w:r>
          </w:p>
        </w:tc>
        <w:tc>
          <w:tcPr>
            <w:tcW w:w="3402" w:type="dxa"/>
          </w:tcPr>
          <w:p>
            <w:pPr>
              <w:spacing w:line="300" w:lineRule="exact"/>
              <w:rPr>
                <w:rFonts w:ascii="仿宋_GB2312"/>
                <w:sz w:val="24"/>
                <w:szCs w:val="24"/>
              </w:rPr>
            </w:pPr>
            <w:r>
              <w:rPr>
                <w:rFonts w:hint="eastAsia" w:ascii="仿宋_GB2312"/>
                <w:sz w:val="24"/>
                <w:szCs w:val="24"/>
              </w:rPr>
              <w:t>1.举办基于多元表征视角的例题教材解读比赛</w:t>
            </w:r>
          </w:p>
          <w:p>
            <w:pPr>
              <w:spacing w:line="300" w:lineRule="exact"/>
              <w:rPr>
                <w:rFonts w:ascii="仿宋_GB2312"/>
                <w:sz w:val="24"/>
                <w:szCs w:val="24"/>
              </w:rPr>
            </w:pPr>
            <w:r>
              <w:rPr>
                <w:rFonts w:hint="eastAsia" w:ascii="仿宋_GB2312"/>
                <w:sz w:val="24"/>
                <w:szCs w:val="24"/>
              </w:rPr>
              <w:t>2.研讨“几何与图形”领域手册样稿</w:t>
            </w:r>
          </w:p>
        </w:tc>
        <w:tc>
          <w:tcPr>
            <w:tcW w:w="1278" w:type="dxa"/>
            <w:vAlign w:val="center"/>
          </w:tcPr>
          <w:p>
            <w:pPr>
              <w:spacing w:line="300" w:lineRule="exact"/>
              <w:jc w:val="center"/>
              <w:rPr>
                <w:rFonts w:ascii="仿宋_GB2312"/>
                <w:sz w:val="24"/>
                <w:szCs w:val="24"/>
              </w:rPr>
            </w:pPr>
            <w:r>
              <w:rPr>
                <w:rFonts w:hint="eastAsia" w:ascii="仿宋_GB2312"/>
                <w:sz w:val="24"/>
                <w:szCs w:val="24"/>
              </w:rPr>
              <w:t>竞赛评比</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第十二次集中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1.现代与经典教学观察</w:t>
            </w:r>
          </w:p>
          <w:p>
            <w:pPr>
              <w:spacing w:line="300" w:lineRule="exact"/>
              <w:rPr>
                <w:rFonts w:ascii="仿宋_GB2312"/>
                <w:sz w:val="24"/>
                <w:szCs w:val="24"/>
              </w:rPr>
            </w:pPr>
            <w:r>
              <w:rPr>
                <w:rFonts w:hint="eastAsia" w:ascii="仿宋_GB2312"/>
                <w:sz w:val="24"/>
                <w:szCs w:val="24"/>
              </w:rPr>
              <w:t>2.江苏省教学年会</w:t>
            </w:r>
          </w:p>
        </w:tc>
        <w:tc>
          <w:tcPr>
            <w:tcW w:w="1278" w:type="dxa"/>
            <w:vAlign w:val="center"/>
          </w:tcPr>
          <w:p>
            <w:pPr>
              <w:spacing w:line="300" w:lineRule="exact"/>
              <w:jc w:val="center"/>
              <w:rPr>
                <w:rFonts w:ascii="仿宋_GB2312"/>
                <w:sz w:val="24"/>
                <w:szCs w:val="24"/>
              </w:rPr>
            </w:pPr>
            <w:r>
              <w:rPr>
                <w:rFonts w:hint="eastAsia" w:ascii="仿宋_GB2312"/>
                <w:sz w:val="24"/>
                <w:szCs w:val="24"/>
              </w:rPr>
              <w:t>外出培训</w:t>
            </w:r>
          </w:p>
        </w:tc>
        <w:tc>
          <w:tcPr>
            <w:tcW w:w="990" w:type="dxa"/>
            <w:vAlign w:val="center"/>
          </w:tcPr>
          <w:p>
            <w:pPr>
              <w:spacing w:line="300" w:lineRule="exact"/>
              <w:jc w:val="center"/>
              <w:rPr>
                <w:rFonts w:ascii="仿宋_GB2312"/>
                <w:sz w:val="24"/>
                <w:szCs w:val="24"/>
              </w:rPr>
            </w:pPr>
            <w:r>
              <w:rPr>
                <w:rFonts w:hint="eastAsia" w:ascii="仿宋_GB2312"/>
                <w:sz w:val="24"/>
                <w:szCs w:val="24"/>
              </w:rPr>
              <w:t>3.0</w:t>
            </w:r>
          </w:p>
        </w:tc>
        <w:tc>
          <w:tcPr>
            <w:tcW w:w="1701" w:type="dxa"/>
            <w:vAlign w:val="center"/>
          </w:tcPr>
          <w:p>
            <w:pPr>
              <w:spacing w:line="300" w:lineRule="exact"/>
              <w:jc w:val="center"/>
              <w:rPr>
                <w:rFonts w:ascii="仿宋_GB2312"/>
                <w:sz w:val="24"/>
                <w:szCs w:val="24"/>
              </w:rPr>
            </w:pPr>
            <w:r>
              <w:rPr>
                <w:rFonts w:hint="eastAsia" w:ascii="仿宋_GB2312"/>
                <w:sz w:val="24"/>
                <w:szCs w:val="24"/>
              </w:rPr>
              <w:t>第十三次集中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12月</w:t>
            </w:r>
          </w:p>
        </w:tc>
        <w:tc>
          <w:tcPr>
            <w:tcW w:w="3402" w:type="dxa"/>
          </w:tcPr>
          <w:p>
            <w:pPr>
              <w:spacing w:line="300" w:lineRule="exact"/>
              <w:rPr>
                <w:rFonts w:ascii="仿宋_GB2312"/>
                <w:sz w:val="24"/>
                <w:szCs w:val="24"/>
              </w:rPr>
            </w:pPr>
            <w:r>
              <w:rPr>
                <w:rFonts w:hint="eastAsia" w:ascii="仿宋_GB2312"/>
                <w:sz w:val="24"/>
                <w:szCs w:val="24"/>
              </w:rPr>
              <w:t>1.论文写作与文献综述</w:t>
            </w:r>
          </w:p>
          <w:p>
            <w:pPr>
              <w:spacing w:line="300" w:lineRule="exact"/>
              <w:rPr>
                <w:rFonts w:ascii="仿宋_GB2312"/>
                <w:sz w:val="24"/>
                <w:szCs w:val="24"/>
              </w:rPr>
            </w:pPr>
            <w:r>
              <w:rPr>
                <w:rFonts w:hint="eastAsia" w:ascii="仿宋_GB2312"/>
                <w:sz w:val="24"/>
                <w:szCs w:val="24"/>
              </w:rPr>
              <w:t>2.研讨课</w:t>
            </w:r>
          </w:p>
          <w:p>
            <w:pPr>
              <w:spacing w:line="300" w:lineRule="exact"/>
              <w:rPr>
                <w:rFonts w:ascii="仿宋_GB2312"/>
                <w:sz w:val="24"/>
                <w:szCs w:val="24"/>
              </w:rPr>
            </w:pPr>
            <w:r>
              <w:rPr>
                <w:rFonts w:hint="eastAsia" w:ascii="仿宋_GB2312"/>
                <w:sz w:val="24"/>
                <w:szCs w:val="24"/>
              </w:rPr>
              <w:t>3.完善“几何与图形”领域手册单册样稿</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第十四次集中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理论学习与研讨：多元表征</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网络研修</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00" w:lineRule="exact"/>
              <w:jc w:val="center"/>
              <w:rPr>
                <w:rFonts w:ascii="仿宋_GB2312"/>
                <w:sz w:val="24"/>
                <w:szCs w:val="24"/>
              </w:rPr>
            </w:pPr>
            <w:r>
              <w:rPr>
                <w:rFonts w:hint="eastAsia" w:ascii="仿宋_GB2312"/>
                <w:sz w:val="24"/>
                <w:szCs w:val="24"/>
              </w:rPr>
              <w:t>202</w:t>
            </w:r>
            <w:r>
              <w:rPr>
                <w:rFonts w:hint="eastAsia" w:ascii="仿宋_GB2312"/>
                <w:sz w:val="24"/>
                <w:szCs w:val="24"/>
                <w:lang w:val="en-US" w:eastAsia="zh-CN"/>
              </w:rPr>
              <w:t>2</w:t>
            </w:r>
            <w:r>
              <w:rPr>
                <w:rFonts w:hint="eastAsia" w:ascii="仿宋_GB2312"/>
                <w:sz w:val="24"/>
                <w:szCs w:val="24"/>
              </w:rPr>
              <w:t>年</w:t>
            </w:r>
          </w:p>
        </w:tc>
        <w:tc>
          <w:tcPr>
            <w:tcW w:w="851" w:type="dxa"/>
            <w:vAlign w:val="center"/>
          </w:tcPr>
          <w:p>
            <w:pPr>
              <w:spacing w:line="300" w:lineRule="exact"/>
              <w:jc w:val="center"/>
              <w:rPr>
                <w:rFonts w:ascii="仿宋_GB2312"/>
                <w:sz w:val="24"/>
                <w:szCs w:val="24"/>
              </w:rPr>
            </w:pPr>
            <w:r>
              <w:rPr>
                <w:rFonts w:hint="eastAsia" w:ascii="仿宋_GB2312"/>
                <w:sz w:val="24"/>
                <w:szCs w:val="24"/>
              </w:rPr>
              <w:t>1月</w:t>
            </w:r>
          </w:p>
        </w:tc>
        <w:tc>
          <w:tcPr>
            <w:tcW w:w="3402" w:type="dxa"/>
          </w:tcPr>
          <w:p>
            <w:pPr>
              <w:spacing w:line="300" w:lineRule="exact"/>
              <w:rPr>
                <w:rFonts w:ascii="仿宋_GB2312"/>
                <w:sz w:val="24"/>
                <w:szCs w:val="24"/>
              </w:rPr>
            </w:pPr>
            <w:r>
              <w:rPr>
                <w:rFonts w:hint="eastAsia" w:ascii="仿宋_GB2312"/>
                <w:sz w:val="24"/>
                <w:szCs w:val="24"/>
              </w:rPr>
              <w:t>1.项目建设沙龙与阶段反馈</w:t>
            </w:r>
          </w:p>
          <w:p>
            <w:pPr>
              <w:spacing w:line="300" w:lineRule="exact"/>
              <w:rPr>
                <w:rFonts w:ascii="仿宋_GB2312"/>
                <w:sz w:val="24"/>
                <w:szCs w:val="24"/>
              </w:rPr>
            </w:pPr>
            <w:r>
              <w:rPr>
                <w:rFonts w:hint="eastAsia" w:ascii="仿宋_GB2312"/>
                <w:sz w:val="24"/>
                <w:szCs w:val="24"/>
              </w:rPr>
              <w:t>2.专家论证已有手册样稿</w:t>
            </w:r>
          </w:p>
        </w:tc>
        <w:tc>
          <w:tcPr>
            <w:tcW w:w="1278" w:type="dxa"/>
            <w:vAlign w:val="center"/>
          </w:tcPr>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r>
              <w:rPr>
                <w:rFonts w:hint="eastAsia" w:ascii="仿宋_GB2312"/>
                <w:sz w:val="24"/>
                <w:szCs w:val="24"/>
              </w:rPr>
              <w:t>第十五次集中</w:t>
            </w:r>
          </w:p>
        </w:tc>
      </w:tr>
    </w:tbl>
    <w:p>
      <w:pPr>
        <w:ind w:firstLine="480"/>
        <w:rPr>
          <w:rFonts w:ascii="仿宋_GB2312"/>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AF2"/>
    <w:rsid w:val="00002B15"/>
    <w:rsid w:val="00002E97"/>
    <w:rsid w:val="000130E4"/>
    <w:rsid w:val="000242CC"/>
    <w:rsid w:val="00025B37"/>
    <w:rsid w:val="000268F9"/>
    <w:rsid w:val="0003575C"/>
    <w:rsid w:val="00042E4E"/>
    <w:rsid w:val="00044BD5"/>
    <w:rsid w:val="000530FE"/>
    <w:rsid w:val="00054DDC"/>
    <w:rsid w:val="000653DF"/>
    <w:rsid w:val="00073D94"/>
    <w:rsid w:val="000747D4"/>
    <w:rsid w:val="000759DD"/>
    <w:rsid w:val="000800F8"/>
    <w:rsid w:val="000821E0"/>
    <w:rsid w:val="0008320B"/>
    <w:rsid w:val="0008404A"/>
    <w:rsid w:val="0008541F"/>
    <w:rsid w:val="00085E25"/>
    <w:rsid w:val="00093655"/>
    <w:rsid w:val="000A61C8"/>
    <w:rsid w:val="000A6A17"/>
    <w:rsid w:val="000B2226"/>
    <w:rsid w:val="000B5446"/>
    <w:rsid w:val="000C42E4"/>
    <w:rsid w:val="000D0EBA"/>
    <w:rsid w:val="000D72D7"/>
    <w:rsid w:val="000D774A"/>
    <w:rsid w:val="000E0EB7"/>
    <w:rsid w:val="000F5669"/>
    <w:rsid w:val="000F62D6"/>
    <w:rsid w:val="00102F86"/>
    <w:rsid w:val="00103B62"/>
    <w:rsid w:val="001136C4"/>
    <w:rsid w:val="0014238F"/>
    <w:rsid w:val="001627A0"/>
    <w:rsid w:val="0016479D"/>
    <w:rsid w:val="00171205"/>
    <w:rsid w:val="00180F6C"/>
    <w:rsid w:val="00184334"/>
    <w:rsid w:val="00184F99"/>
    <w:rsid w:val="001B3C59"/>
    <w:rsid w:val="001C4088"/>
    <w:rsid w:val="001D7411"/>
    <w:rsid w:val="001E7D60"/>
    <w:rsid w:val="00203158"/>
    <w:rsid w:val="00211DF9"/>
    <w:rsid w:val="0021268C"/>
    <w:rsid w:val="00225AED"/>
    <w:rsid w:val="00233704"/>
    <w:rsid w:val="00245F17"/>
    <w:rsid w:val="00264BC2"/>
    <w:rsid w:val="002671F6"/>
    <w:rsid w:val="00272CCB"/>
    <w:rsid w:val="002805D9"/>
    <w:rsid w:val="00296D85"/>
    <w:rsid w:val="002C4DC6"/>
    <w:rsid w:val="002D1B59"/>
    <w:rsid w:val="002D7B30"/>
    <w:rsid w:val="002E60AE"/>
    <w:rsid w:val="002F2337"/>
    <w:rsid w:val="00301DCE"/>
    <w:rsid w:val="003034B2"/>
    <w:rsid w:val="003107EA"/>
    <w:rsid w:val="00312FD8"/>
    <w:rsid w:val="003305AF"/>
    <w:rsid w:val="003874EA"/>
    <w:rsid w:val="003974FA"/>
    <w:rsid w:val="003A1529"/>
    <w:rsid w:val="003A6277"/>
    <w:rsid w:val="003B5A6A"/>
    <w:rsid w:val="003C3F91"/>
    <w:rsid w:val="003D57B7"/>
    <w:rsid w:val="003E5399"/>
    <w:rsid w:val="00400933"/>
    <w:rsid w:val="00411E85"/>
    <w:rsid w:val="00424B6A"/>
    <w:rsid w:val="00425139"/>
    <w:rsid w:val="00425E34"/>
    <w:rsid w:val="00431079"/>
    <w:rsid w:val="004415C4"/>
    <w:rsid w:val="00452B24"/>
    <w:rsid w:val="00454C29"/>
    <w:rsid w:val="0045500E"/>
    <w:rsid w:val="00455ADB"/>
    <w:rsid w:val="00471D11"/>
    <w:rsid w:val="004745A1"/>
    <w:rsid w:val="00476FA1"/>
    <w:rsid w:val="00477437"/>
    <w:rsid w:val="004A214A"/>
    <w:rsid w:val="004A7631"/>
    <w:rsid w:val="004B51B1"/>
    <w:rsid w:val="004D0384"/>
    <w:rsid w:val="004D0A69"/>
    <w:rsid w:val="004D284D"/>
    <w:rsid w:val="005005B4"/>
    <w:rsid w:val="00501447"/>
    <w:rsid w:val="00503EB7"/>
    <w:rsid w:val="00507D86"/>
    <w:rsid w:val="00511329"/>
    <w:rsid w:val="00514193"/>
    <w:rsid w:val="0052522F"/>
    <w:rsid w:val="005403AB"/>
    <w:rsid w:val="0054443A"/>
    <w:rsid w:val="00547472"/>
    <w:rsid w:val="00560064"/>
    <w:rsid w:val="005604B7"/>
    <w:rsid w:val="00570898"/>
    <w:rsid w:val="005B140F"/>
    <w:rsid w:val="005C3003"/>
    <w:rsid w:val="005F0B83"/>
    <w:rsid w:val="005F6E37"/>
    <w:rsid w:val="0061413A"/>
    <w:rsid w:val="00622B17"/>
    <w:rsid w:val="006252B5"/>
    <w:rsid w:val="0064267A"/>
    <w:rsid w:val="006437E5"/>
    <w:rsid w:val="00644166"/>
    <w:rsid w:val="00655366"/>
    <w:rsid w:val="00660606"/>
    <w:rsid w:val="00665C5C"/>
    <w:rsid w:val="00667D44"/>
    <w:rsid w:val="00670CAD"/>
    <w:rsid w:val="00674316"/>
    <w:rsid w:val="006746A8"/>
    <w:rsid w:val="0067799D"/>
    <w:rsid w:val="00677BA1"/>
    <w:rsid w:val="0068631E"/>
    <w:rsid w:val="00691D6C"/>
    <w:rsid w:val="00694B44"/>
    <w:rsid w:val="00696D74"/>
    <w:rsid w:val="006C1B15"/>
    <w:rsid w:val="006E306A"/>
    <w:rsid w:val="006E37DB"/>
    <w:rsid w:val="006F5B2F"/>
    <w:rsid w:val="0070420E"/>
    <w:rsid w:val="00707B3A"/>
    <w:rsid w:val="007129C3"/>
    <w:rsid w:val="007319AA"/>
    <w:rsid w:val="007325E8"/>
    <w:rsid w:val="00742B1E"/>
    <w:rsid w:val="007457A8"/>
    <w:rsid w:val="00745D82"/>
    <w:rsid w:val="00780208"/>
    <w:rsid w:val="00790ECE"/>
    <w:rsid w:val="007D6D0F"/>
    <w:rsid w:val="007D7A12"/>
    <w:rsid w:val="007E7E9A"/>
    <w:rsid w:val="00803187"/>
    <w:rsid w:val="008038B9"/>
    <w:rsid w:val="0080578C"/>
    <w:rsid w:val="008139D5"/>
    <w:rsid w:val="00815D3E"/>
    <w:rsid w:val="0082162A"/>
    <w:rsid w:val="00823C3F"/>
    <w:rsid w:val="00823D92"/>
    <w:rsid w:val="00825273"/>
    <w:rsid w:val="008312F5"/>
    <w:rsid w:val="00833ABC"/>
    <w:rsid w:val="00834B5B"/>
    <w:rsid w:val="0084289B"/>
    <w:rsid w:val="00852285"/>
    <w:rsid w:val="00856E07"/>
    <w:rsid w:val="008571A3"/>
    <w:rsid w:val="008641F5"/>
    <w:rsid w:val="0087006E"/>
    <w:rsid w:val="008867FB"/>
    <w:rsid w:val="008A396F"/>
    <w:rsid w:val="008B0B7E"/>
    <w:rsid w:val="008D78F1"/>
    <w:rsid w:val="008E7C10"/>
    <w:rsid w:val="00907E5D"/>
    <w:rsid w:val="009222AA"/>
    <w:rsid w:val="00925B96"/>
    <w:rsid w:val="009260B5"/>
    <w:rsid w:val="009274E7"/>
    <w:rsid w:val="009325C0"/>
    <w:rsid w:val="00946CF9"/>
    <w:rsid w:val="00947A21"/>
    <w:rsid w:val="0095368B"/>
    <w:rsid w:val="00955466"/>
    <w:rsid w:val="00965988"/>
    <w:rsid w:val="00987656"/>
    <w:rsid w:val="00987748"/>
    <w:rsid w:val="00992FA5"/>
    <w:rsid w:val="009A014D"/>
    <w:rsid w:val="009A2B03"/>
    <w:rsid w:val="009B24F2"/>
    <w:rsid w:val="009B28A4"/>
    <w:rsid w:val="009B410D"/>
    <w:rsid w:val="009B71D9"/>
    <w:rsid w:val="009C1321"/>
    <w:rsid w:val="009D11D1"/>
    <w:rsid w:val="009D49C0"/>
    <w:rsid w:val="009D6797"/>
    <w:rsid w:val="009D6D9A"/>
    <w:rsid w:val="009E033B"/>
    <w:rsid w:val="009E321F"/>
    <w:rsid w:val="009E3664"/>
    <w:rsid w:val="009F3D53"/>
    <w:rsid w:val="009F6A58"/>
    <w:rsid w:val="00A031E9"/>
    <w:rsid w:val="00A0341C"/>
    <w:rsid w:val="00A03514"/>
    <w:rsid w:val="00A0652D"/>
    <w:rsid w:val="00A13B92"/>
    <w:rsid w:val="00A15DDA"/>
    <w:rsid w:val="00A209F1"/>
    <w:rsid w:val="00A25741"/>
    <w:rsid w:val="00A27F84"/>
    <w:rsid w:val="00A3122D"/>
    <w:rsid w:val="00A32F63"/>
    <w:rsid w:val="00A33440"/>
    <w:rsid w:val="00A50850"/>
    <w:rsid w:val="00A54849"/>
    <w:rsid w:val="00A56BAD"/>
    <w:rsid w:val="00A67E2B"/>
    <w:rsid w:val="00A80F12"/>
    <w:rsid w:val="00A844CF"/>
    <w:rsid w:val="00AA2E4E"/>
    <w:rsid w:val="00AB08A5"/>
    <w:rsid w:val="00AB74FE"/>
    <w:rsid w:val="00AC246B"/>
    <w:rsid w:val="00AC3735"/>
    <w:rsid w:val="00AC669B"/>
    <w:rsid w:val="00AC6D80"/>
    <w:rsid w:val="00AE08DE"/>
    <w:rsid w:val="00AE5FD4"/>
    <w:rsid w:val="00AF0673"/>
    <w:rsid w:val="00B07D8D"/>
    <w:rsid w:val="00B07FE6"/>
    <w:rsid w:val="00B266B5"/>
    <w:rsid w:val="00B30EF0"/>
    <w:rsid w:val="00B33F68"/>
    <w:rsid w:val="00B42A4C"/>
    <w:rsid w:val="00B4765E"/>
    <w:rsid w:val="00B66784"/>
    <w:rsid w:val="00B77003"/>
    <w:rsid w:val="00B77F3A"/>
    <w:rsid w:val="00B82588"/>
    <w:rsid w:val="00B92FB8"/>
    <w:rsid w:val="00B94BB2"/>
    <w:rsid w:val="00BA12BE"/>
    <w:rsid w:val="00BA5FA2"/>
    <w:rsid w:val="00BB4BF9"/>
    <w:rsid w:val="00BC12E6"/>
    <w:rsid w:val="00BD086D"/>
    <w:rsid w:val="00BD65E4"/>
    <w:rsid w:val="00BE0430"/>
    <w:rsid w:val="00BE48FC"/>
    <w:rsid w:val="00BF4870"/>
    <w:rsid w:val="00BF66A4"/>
    <w:rsid w:val="00C004E4"/>
    <w:rsid w:val="00C01393"/>
    <w:rsid w:val="00C116E2"/>
    <w:rsid w:val="00C177C7"/>
    <w:rsid w:val="00C2080E"/>
    <w:rsid w:val="00C22ACA"/>
    <w:rsid w:val="00C552D0"/>
    <w:rsid w:val="00C618F3"/>
    <w:rsid w:val="00C626C3"/>
    <w:rsid w:val="00C73D89"/>
    <w:rsid w:val="00C75AFB"/>
    <w:rsid w:val="00C83772"/>
    <w:rsid w:val="00C83EC9"/>
    <w:rsid w:val="00C90ACD"/>
    <w:rsid w:val="00CA1870"/>
    <w:rsid w:val="00CA206E"/>
    <w:rsid w:val="00CC2FC3"/>
    <w:rsid w:val="00CC3419"/>
    <w:rsid w:val="00CE3E74"/>
    <w:rsid w:val="00CE3F75"/>
    <w:rsid w:val="00CF43A8"/>
    <w:rsid w:val="00CF6D7D"/>
    <w:rsid w:val="00D0180D"/>
    <w:rsid w:val="00D03811"/>
    <w:rsid w:val="00D32B7D"/>
    <w:rsid w:val="00D40832"/>
    <w:rsid w:val="00D43AEA"/>
    <w:rsid w:val="00D50D5C"/>
    <w:rsid w:val="00D52A9E"/>
    <w:rsid w:val="00D5336E"/>
    <w:rsid w:val="00D76750"/>
    <w:rsid w:val="00D94FC6"/>
    <w:rsid w:val="00DA3232"/>
    <w:rsid w:val="00DA3FFB"/>
    <w:rsid w:val="00DA6983"/>
    <w:rsid w:val="00DA6A9B"/>
    <w:rsid w:val="00DB067E"/>
    <w:rsid w:val="00DD7B8D"/>
    <w:rsid w:val="00DF20F1"/>
    <w:rsid w:val="00DF619B"/>
    <w:rsid w:val="00E04FF4"/>
    <w:rsid w:val="00E1105B"/>
    <w:rsid w:val="00E3789A"/>
    <w:rsid w:val="00E51EE7"/>
    <w:rsid w:val="00E641D1"/>
    <w:rsid w:val="00E65D33"/>
    <w:rsid w:val="00E773E1"/>
    <w:rsid w:val="00E83379"/>
    <w:rsid w:val="00E83931"/>
    <w:rsid w:val="00E92B92"/>
    <w:rsid w:val="00E932B3"/>
    <w:rsid w:val="00EA04E3"/>
    <w:rsid w:val="00EA5F80"/>
    <w:rsid w:val="00EA671F"/>
    <w:rsid w:val="00EB0734"/>
    <w:rsid w:val="00EB2D1E"/>
    <w:rsid w:val="00EC1BB8"/>
    <w:rsid w:val="00EC3DC9"/>
    <w:rsid w:val="00EC4C24"/>
    <w:rsid w:val="00EC6035"/>
    <w:rsid w:val="00ED07D7"/>
    <w:rsid w:val="00ED45AF"/>
    <w:rsid w:val="00EE7D35"/>
    <w:rsid w:val="00F26328"/>
    <w:rsid w:val="00F27842"/>
    <w:rsid w:val="00F535CE"/>
    <w:rsid w:val="00F54646"/>
    <w:rsid w:val="00F55730"/>
    <w:rsid w:val="00F61493"/>
    <w:rsid w:val="00F62D42"/>
    <w:rsid w:val="00F64DB6"/>
    <w:rsid w:val="00F650B3"/>
    <w:rsid w:val="00F6647E"/>
    <w:rsid w:val="00F72AF2"/>
    <w:rsid w:val="00F752D5"/>
    <w:rsid w:val="00F76C7D"/>
    <w:rsid w:val="00F808ED"/>
    <w:rsid w:val="00F914D1"/>
    <w:rsid w:val="00F9206A"/>
    <w:rsid w:val="00F95276"/>
    <w:rsid w:val="00FA038B"/>
    <w:rsid w:val="00FA234D"/>
    <w:rsid w:val="00FA23C3"/>
    <w:rsid w:val="00FC0134"/>
    <w:rsid w:val="00FC0E4E"/>
    <w:rsid w:val="00FD370A"/>
    <w:rsid w:val="00FE0F5B"/>
    <w:rsid w:val="00FE220F"/>
    <w:rsid w:val="00FE5547"/>
    <w:rsid w:val="00FE7C60"/>
    <w:rsid w:val="00FE7E4D"/>
    <w:rsid w:val="00FF3CCC"/>
    <w:rsid w:val="5A3A5094"/>
    <w:rsid w:val="619060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spacing w:line="700" w:lineRule="exact"/>
      <w:jc w:val="center"/>
    </w:pPr>
    <w:rPr>
      <w:rFonts w:eastAsia="方正大标宋简体"/>
      <w:sz w:val="44"/>
      <w:szCs w:val="24"/>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qFormat/>
    <w:uiPriority w:val="99"/>
    <w:rPr>
      <w:rFonts w:cs="Times New Roman"/>
      <w:color w:val="0000FF"/>
      <w:u w:val="single"/>
    </w:rPr>
  </w:style>
  <w:style w:type="character" w:customStyle="1" w:styleId="9">
    <w:name w:val="正文文本 Char"/>
    <w:basedOn w:val="7"/>
    <w:link w:val="2"/>
    <w:semiHidden/>
    <w:qFormat/>
    <w:locked/>
    <w:uiPriority w:val="99"/>
    <w:rPr>
      <w:rFonts w:eastAsia="仿宋_GB2312" w:cs="Times New Roman"/>
      <w:sz w:val="32"/>
      <w:szCs w:val="32"/>
    </w:rPr>
  </w:style>
  <w:style w:type="character" w:customStyle="1" w:styleId="10">
    <w:name w:val="页眉 Char"/>
    <w:basedOn w:val="7"/>
    <w:link w:val="4"/>
    <w:qFormat/>
    <w:locked/>
    <w:uiPriority w:val="99"/>
    <w:rPr>
      <w:rFonts w:eastAsia="仿宋_GB2312" w:cs="Times New Roman"/>
      <w:kern w:val="2"/>
      <w:sz w:val="18"/>
      <w:szCs w:val="18"/>
    </w:rPr>
  </w:style>
  <w:style w:type="character" w:customStyle="1" w:styleId="11">
    <w:name w:val="页脚 Char"/>
    <w:basedOn w:val="7"/>
    <w:link w:val="3"/>
    <w:qFormat/>
    <w:locked/>
    <w:uiPriority w:val="99"/>
    <w:rPr>
      <w:rFonts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770</Words>
  <Characters>4390</Characters>
  <Lines>36</Lines>
  <Paragraphs>10</Paragraphs>
  <TotalTime>2366</TotalTime>
  <ScaleCrop>false</ScaleCrop>
  <LinksUpToDate>false</LinksUpToDate>
  <CharactersWithSpaces>5150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2016-05-27T06:28:00Z</dcterms:created>
  <dc:creator>微软用户</dc:creator>
  <cp:lastModifiedBy>南窗去水</cp:lastModifiedBy>
  <cp:lastPrinted>2013-01-22T07:01:00Z</cp:lastPrinted>
  <dcterms:modified xsi:type="dcterms:W3CDTF">2022-01-02T14:44:22Z</dcterms:modified>
  <dc:title>关于开展新北区中小学优秀教师培育室领衔人换届评选工作的通知</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16F133A9A2F94C348F48A60705CEBBA2</vt:lpwstr>
  </property>
</Properties>
</file>