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2021年度</w:t>
      </w:r>
      <w:r>
        <w:rPr>
          <w:rFonts w:hint="eastAsia" w:ascii="微软雅黑" w:hAnsi="微软雅黑" w:eastAsia="微软雅黑"/>
          <w:b/>
          <w:sz w:val="32"/>
          <w:szCs w:val="32"/>
        </w:rPr>
        <w:t>常州市新北区名教师成长营年度考核评价表</w:t>
      </w:r>
    </w:p>
    <w:p>
      <w:pPr>
        <w:jc w:val="both"/>
        <w:rPr>
          <w:rFonts w:hint="default" w:ascii="微软雅黑" w:hAnsi="微软雅黑" w:eastAsia="微软雅黑"/>
          <w:b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sz w:val="21"/>
          <w:szCs w:val="21"/>
          <w:lang w:val="en-US" w:eastAsia="zh-CN"/>
        </w:rPr>
        <w:t>成长营名称：_</w:t>
      </w:r>
      <w:r>
        <w:rPr>
          <w:rFonts w:hint="eastAsia" w:ascii="微软雅黑" w:hAnsi="微软雅黑" w:eastAsia="微软雅黑"/>
          <w:b/>
          <w:sz w:val="21"/>
          <w:szCs w:val="21"/>
          <w:u w:val="single"/>
          <w:lang w:val="en-US" w:eastAsia="zh-CN"/>
        </w:rPr>
        <w:t>_姚建法名教师成长营</w:t>
      </w:r>
      <w:r>
        <w:rPr>
          <w:rFonts w:hint="eastAsia" w:ascii="微软雅黑" w:hAnsi="微软雅黑" w:eastAsia="微软雅黑"/>
          <w:b/>
          <w:sz w:val="21"/>
          <w:szCs w:val="21"/>
          <w:lang w:val="en-US" w:eastAsia="zh-CN"/>
        </w:rPr>
        <w:t>___                                                                       时间：___</w:t>
      </w:r>
      <w:r>
        <w:rPr>
          <w:rFonts w:hint="eastAsia" w:ascii="微软雅黑" w:hAnsi="微软雅黑" w:eastAsia="微软雅黑"/>
          <w:b/>
          <w:sz w:val="21"/>
          <w:szCs w:val="21"/>
          <w:u w:val="single"/>
          <w:lang w:val="en-US" w:eastAsia="zh-CN"/>
        </w:rPr>
        <w:t>2021.12</w:t>
      </w:r>
      <w:r>
        <w:rPr>
          <w:rFonts w:hint="eastAsia" w:ascii="微软雅黑" w:hAnsi="微软雅黑" w:eastAsia="微软雅黑"/>
          <w:b/>
          <w:sz w:val="21"/>
          <w:szCs w:val="21"/>
          <w:lang w:val="en-US" w:eastAsia="zh-CN"/>
        </w:rPr>
        <w:t>___</w:t>
      </w:r>
    </w:p>
    <w:tbl>
      <w:tblPr>
        <w:tblStyle w:val="3"/>
        <w:tblW w:w="13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4332"/>
        <w:gridCol w:w="1008"/>
        <w:gridCol w:w="1799"/>
        <w:gridCol w:w="3438"/>
        <w:gridCol w:w="1063"/>
        <w:gridCol w:w="1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评价指标</w:t>
            </w:r>
          </w:p>
        </w:tc>
        <w:tc>
          <w:tcPr>
            <w:tcW w:w="43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评价内容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分值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评价方式</w:t>
            </w: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自评概述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自评得分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考核得分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7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A1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基础性指标</w:t>
            </w:r>
          </w:p>
        </w:tc>
        <w:tc>
          <w:tcPr>
            <w:tcW w:w="433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B1成长营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建设规范。工作实施方案、活动开展过程性资料、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阶段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总结等完整。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查阅网页</w:t>
            </w:r>
          </w:p>
        </w:tc>
        <w:tc>
          <w:tcPr>
            <w:tcW w:w="3438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按工作实施方案有序地开展系列活动，过程性资料齐全，有阶段总结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3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内部管理完善。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成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员考勤记录完整、档案信息齐全规范，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领衔人及助理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工作职责明确，经费使用严格执行财务制度。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查阅网页</w:t>
            </w:r>
          </w:p>
        </w:tc>
        <w:tc>
          <w:tcPr>
            <w:tcW w:w="343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正式成员分为三大组，编外人员独立一组，每组一名组长，统筹研修活动。及时考勤，档案信息完备，分工明确，经费使用规范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3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B3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成长营活动有序。每年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集中研修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活动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不少于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10天（80学时）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，活动内容丰富，活动方式多元。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查阅网页</w:t>
            </w: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2021年开展第19次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至第34次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活动</w:t>
            </w:r>
          </w:p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（其中第19次2天、第21、24次1天），共21个半天，合计84学时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3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B4领衔人示范辐射到位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。领衔人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面向全体学员上示范课或作讲座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一年不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少于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次。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查阅网页</w:t>
            </w:r>
          </w:p>
        </w:tc>
        <w:tc>
          <w:tcPr>
            <w:tcW w:w="343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20210326小学生数学多元表征学习——以三下“两步混合运算”为例</w:t>
            </w:r>
          </w:p>
          <w:p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20210415小学生数学多元表征学习——运算教学的立与破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20210521小学生数学多元表征学习——数概念与数关系的教学</w:t>
            </w:r>
          </w:p>
          <w:p>
            <w:p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20210917小学生数学多元表征学习——“图形与几何”领域概念教学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20211202小学生数学多元表征学习——图形的运动与位置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3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B5项目研究有效。按计划推进项目建设，有阶段性项目研究成果。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查阅网页</w:t>
            </w: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按计划推进项目建设，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上半年</w:t>
            </w:r>
            <w:r>
              <w:rPr>
                <w:rFonts w:hint="eastAsia" w:ascii="仿宋" w:hAnsi="仿宋" w:eastAsia="仿宋" w:cs="仿宋"/>
                <w:szCs w:val="21"/>
              </w:rPr>
              <w:t>重点围绕数与代数领域开展研究，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下半年重点围绕图形与几何领域。成长营有3个子项目（区专项课题），</w:t>
            </w:r>
            <w:r>
              <w:rPr>
                <w:rFonts w:hint="eastAsia" w:ascii="仿宋" w:hAnsi="仿宋" w:eastAsia="仿宋" w:cs="仿宋"/>
                <w:szCs w:val="21"/>
              </w:rPr>
              <w:t>取得阶段性研究成果，形成部分例题内容结构体系表和例题教学模型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。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A2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测评性指标</w:t>
            </w:r>
          </w:p>
        </w:tc>
        <w:tc>
          <w:tcPr>
            <w:tcW w:w="4332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B6年度汇报展示。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每年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12月底各成长营现场汇报展示一年的活动与成果，由专家评委和大众评委现场测评打分，专家评委占60%，大众评委占40%。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现场展示考评，汇报展示的形式由各成长营自定。</w:t>
            </w: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———————————————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7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A3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发展性指标</w:t>
            </w:r>
          </w:p>
        </w:tc>
        <w:tc>
          <w:tcPr>
            <w:tcW w:w="4332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B7综合荣誉：省级8分，市级5分，区级3，校级1分。</w:t>
            </w:r>
          </w:p>
        </w:tc>
        <w:tc>
          <w:tcPr>
            <w:tcW w:w="100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按实际成果打分，不封顶。</w:t>
            </w:r>
          </w:p>
        </w:tc>
        <w:tc>
          <w:tcPr>
            <w:tcW w:w="1799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查阅网页（按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12项分类汇总后上传于网页“成果展示”栏目）</w:t>
            </w: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区7校3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24分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32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B8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单项荣誉：省级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3分，市级2分，区级1分，校级0.5分。</w:t>
            </w:r>
          </w:p>
        </w:tc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省1市2区3校11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15.5分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32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B9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论文发表：国家级核心期刊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10分，省级及以上刊物3分，市级刊物2分。</w:t>
            </w:r>
          </w:p>
        </w:tc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省级24篇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72分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32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B10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论文获奖：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省一等奖3分，省二等奖2分，省三等奖1分，市一等奖2分，市二等奖1分，市三等奖0.5分，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区一等奖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1分，区二等奖0.5分。</w:t>
            </w:r>
          </w:p>
        </w:tc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区一2区二2市三1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3.5分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32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B11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课题研究：主持省级课题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5分，主持市级课题3分，主持区级课题1分。区微型课题一等奖1分，二等奖0.5分。</w:t>
            </w:r>
          </w:p>
        </w:tc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主持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省1市1区5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区微课题 一3二2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17分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32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B12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公开课：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省级5分，市级2分，区级1分。</w:t>
            </w:r>
          </w:p>
        </w:tc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省1市3区22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33分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3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B13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讲座：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省级5分，市级2分，区级1分。</w:t>
            </w:r>
          </w:p>
        </w:tc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区4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4分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32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B14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评优课、基本功：省一等奖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8分，省二等奖6分，市一等奖6分，市二等奖4分，市三等奖2分，区一等奖4分，区二等奖2分，区三等奖1分。</w:t>
            </w:r>
          </w:p>
        </w:tc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市一1市二1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区一3区二7区三2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38分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32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B15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教育教学单项比赛：省一等奖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4分，省二等奖3分，省三等奖2分，市一等奖3分，市二等奖2分，市三等奖1分，区一等奖2分，区二等奖1分，区三等奖0.5分。</w:t>
            </w:r>
          </w:p>
        </w:tc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一等6二等6三等6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54分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32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B16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专业称号、职称晋升：专业称号、职称在原有基础上有晋升每人次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4分。</w:t>
            </w:r>
          </w:p>
        </w:tc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明年考核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72" w:type="dxa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332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B17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教学成果奖：省级一等奖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10分，省级二等奖8分，省级三等奖6分，市一等奖8分，市二等奖6分，市三等奖4分，区一等奖6分，区二等奖4分，区三等奖2分。</w:t>
            </w:r>
          </w:p>
        </w:tc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省一1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说明：</w:t>
      </w:r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t>发展性指标的成果含成长营领衔人和所有成员，按每人每次累加。</w:t>
      </w:r>
      <w:r>
        <w:rPr>
          <w:rFonts w:hint="eastAsia"/>
          <w:lang w:val="en-US" w:eastAsia="zh-CN"/>
        </w:rPr>
        <w:t>2、论文获奖主要指教育行政主管部门、教研机构、教师发展机构、电教机构组织的论文评比活动，同一篇论文不累计，省教育学会组织的论文评比得分减半，杂志社等上述机构不予认可。3、课题研究主要指主持的规划课题、教研课题和电教课题，子课题和参与课题不予认可。4、上述未涉及的其他特殊成果具体商议决定。5、年度考核周期为当年度1月1日至12月31日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035E"/>
    <w:rsid w:val="0032035E"/>
    <w:rsid w:val="006C4453"/>
    <w:rsid w:val="00C2024E"/>
    <w:rsid w:val="05B71F71"/>
    <w:rsid w:val="0980261C"/>
    <w:rsid w:val="0A3D4E0D"/>
    <w:rsid w:val="0C64719F"/>
    <w:rsid w:val="0F824D84"/>
    <w:rsid w:val="118D346C"/>
    <w:rsid w:val="17BA3C4E"/>
    <w:rsid w:val="18104D99"/>
    <w:rsid w:val="1B75157E"/>
    <w:rsid w:val="1E890F8D"/>
    <w:rsid w:val="3A0E552D"/>
    <w:rsid w:val="3DC56557"/>
    <w:rsid w:val="3E8802D1"/>
    <w:rsid w:val="419F3E7B"/>
    <w:rsid w:val="45DC168E"/>
    <w:rsid w:val="481F2506"/>
    <w:rsid w:val="49CF5BF5"/>
    <w:rsid w:val="4FBE1D1B"/>
    <w:rsid w:val="54406942"/>
    <w:rsid w:val="58890E7C"/>
    <w:rsid w:val="589572C1"/>
    <w:rsid w:val="5CB161AE"/>
    <w:rsid w:val="5D461808"/>
    <w:rsid w:val="5E69497F"/>
    <w:rsid w:val="642F51F5"/>
    <w:rsid w:val="7C0B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97</Characters>
  <Lines>1</Lines>
  <Paragraphs>1</Paragraphs>
  <TotalTime>20</TotalTime>
  <ScaleCrop>false</ScaleCrop>
  <LinksUpToDate>false</LinksUpToDate>
  <CharactersWithSpaces>112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2020-01-13T01:18:00Z</dcterms:created>
  <dc:creator>Administrator</dc:creator>
  <cp:lastModifiedBy>南窗去水</cp:lastModifiedBy>
  <dcterms:modified xsi:type="dcterms:W3CDTF">2022-01-03T08:22:36Z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CC64CF8FA95044FB854715AF1066C321</vt:lpwstr>
  </property>
</Properties>
</file>