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ascii="黑体" w:hAnsi="黑体" w:eastAsia="黑体"/>
          <w:b/>
          <w:sz w:val="32"/>
          <w:szCs w:val="32"/>
          <w:lang w:eastAsia="zh-CN"/>
        </w:rPr>
      </w:pPr>
      <w:r>
        <w:rPr>
          <w:rFonts w:ascii="黑体" w:hAnsi="黑体" w:eastAsia="黑体"/>
          <w:b/>
          <w:sz w:val="32"/>
          <w:szCs w:val="32"/>
        </w:rPr>
        <w:t>魏幼观察记载表</w:t>
      </w:r>
    </w:p>
    <w:p>
      <w:pPr>
        <w:pStyle w:val="5"/>
        <w:ind w:firstLineChars="400"/>
        <w:rPr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班级</w:t>
      </w:r>
      <w:r>
        <w:rPr>
          <w:rFonts w:asciiTheme="minorEastAsia" w:hAnsiTheme="minorEastAsia"/>
          <w:sz w:val="24"/>
          <w:szCs w:val="24"/>
          <w:u w:val="single"/>
        </w:rPr>
        <w:t xml:space="preserve">   </w:t>
      </w:r>
      <w:r>
        <w:rPr>
          <w:rFonts w:hint="eastAsia" w:asciiTheme="minorEastAsia" w:hAnsiTheme="minorEastAsia"/>
          <w:sz w:val="24"/>
          <w:szCs w:val="24"/>
          <w:u w:val="single"/>
          <w:lang w:eastAsia="zh-CN"/>
        </w:rPr>
        <w:t>大</w:t>
      </w:r>
      <w:r>
        <w:rPr>
          <w:rFonts w:hint="eastAsia" w:asciiTheme="minorEastAsia" w:hAnsiTheme="minorEastAsia"/>
          <w:sz w:val="24"/>
          <w:szCs w:val="24"/>
          <w:u w:val="single"/>
          <w:lang w:val="en-US" w:eastAsia="zh-CN"/>
        </w:rPr>
        <w:t>2班</w:t>
      </w:r>
      <w:r>
        <w:rPr>
          <w:rFonts w:asciiTheme="minorEastAsia" w:hAnsiTheme="minorEastAsia"/>
          <w:sz w:val="24"/>
          <w:szCs w:val="24"/>
          <w:u w:val="single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        日期(时间)</w:t>
      </w:r>
      <w:r>
        <w:rPr>
          <w:rFonts w:asciiTheme="minorEastAsia" w:hAnsiTheme="minorEastAsia"/>
          <w:sz w:val="24"/>
          <w:szCs w:val="24"/>
          <w:u w:val="single"/>
        </w:rPr>
        <w:t xml:space="preserve">   </w:t>
      </w:r>
      <w:r>
        <w:rPr>
          <w:rFonts w:hint="eastAsia" w:asciiTheme="minorEastAsia" w:hAnsiTheme="minorEastAsia"/>
          <w:sz w:val="24"/>
          <w:szCs w:val="24"/>
          <w:u w:val="single"/>
          <w:lang w:val="en-US" w:eastAsia="zh-CN"/>
        </w:rPr>
        <w:t>2021.9</w:t>
      </w:r>
      <w:r>
        <w:rPr>
          <w:rFonts w:asciiTheme="minorEastAsia" w:hAnsiTheme="minorEastAsia"/>
          <w:sz w:val="24"/>
          <w:szCs w:val="24"/>
          <w:u w:val="single"/>
        </w:rPr>
        <w:t xml:space="preserve">  </w:t>
      </w:r>
      <w:r>
        <w:rPr>
          <w:rFonts w:asciiTheme="minorEastAsia" w:hAnsiTheme="minorEastAsia"/>
          <w:sz w:val="24"/>
          <w:szCs w:val="24"/>
        </w:rPr>
        <w:t xml:space="preserve">       观察者</w:t>
      </w:r>
      <w:r>
        <w:rPr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  <w:u w:val="single"/>
          <w:lang w:eastAsia="zh-CN"/>
        </w:rPr>
        <w:t>孙亚琴</w:t>
      </w:r>
      <w:r>
        <w:rPr>
          <w:sz w:val="24"/>
          <w:szCs w:val="24"/>
          <w:u w:val="single"/>
        </w:rPr>
        <w:t xml:space="preserve">         </w:t>
      </w:r>
    </w:p>
    <w:tbl>
      <w:tblPr>
        <w:tblStyle w:val="3"/>
        <w:tblW w:w="106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4"/>
        <w:gridCol w:w="3117"/>
        <w:gridCol w:w="3020"/>
        <w:gridCol w:w="335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27" w:hRule="atLeast"/>
        </w:trPr>
        <w:tc>
          <w:tcPr>
            <w:tcW w:w="1134" w:type="dxa"/>
            <w:vAlign w:val="center"/>
          </w:tcPr>
          <w:p>
            <w:pPr>
              <w:pStyle w:val="5"/>
              <w:widowControl w:val="0"/>
              <w:spacing w:beforeLines="0" w:afterLines="0"/>
              <w:jc w:val="center"/>
              <w:rPr>
                <w:rFonts w:eastAsiaTheme="minorEastAsia"/>
                <w:b w:val="0"/>
                <w:bCs/>
                <w:lang w:eastAsia="zh-CN"/>
              </w:rPr>
            </w:pPr>
            <w:r>
              <w:rPr>
                <w:b w:val="0"/>
                <w:bCs/>
                <w:lang w:eastAsia="zh-CN"/>
              </w:rPr>
              <w:t>观察对象</w:t>
            </w:r>
          </w:p>
        </w:tc>
        <w:tc>
          <w:tcPr>
            <w:tcW w:w="3121" w:type="dxa"/>
            <w:gridSpan w:val="2"/>
            <w:vAlign w:val="center"/>
          </w:tcPr>
          <w:p>
            <w:pPr>
              <w:pStyle w:val="5"/>
              <w:widowControl w:val="0"/>
              <w:spacing w:beforeLines="0" w:afterLines="0"/>
              <w:jc w:val="both"/>
              <w:rPr>
                <w:rFonts w:hint="eastAsia" w:eastAsiaTheme="minorEastAsia"/>
                <w:b/>
                <w:lang w:eastAsia="zh-CN"/>
              </w:rPr>
            </w:pPr>
            <w:r>
              <w:t>姓名：</w:t>
            </w:r>
            <w:r>
              <w:rPr>
                <w:rFonts w:hint="eastAsia"/>
                <w:lang w:eastAsia="zh-CN"/>
              </w:rPr>
              <w:t>航航、轩轩</w:t>
            </w:r>
          </w:p>
        </w:tc>
        <w:tc>
          <w:tcPr>
            <w:tcW w:w="3020" w:type="dxa"/>
            <w:vAlign w:val="center"/>
          </w:tcPr>
          <w:p>
            <w:pPr>
              <w:pStyle w:val="5"/>
              <w:widowControl w:val="0"/>
              <w:spacing w:beforeLines="0" w:afterLines="0"/>
              <w:jc w:val="both"/>
              <w:rPr>
                <w:rFonts w:hint="eastAsia" w:eastAsiaTheme="minorEastAsia"/>
                <w:lang w:val="en-US" w:eastAsia="zh-CN"/>
              </w:rPr>
            </w:pPr>
            <w:r>
              <w:t>年龄：</w:t>
            </w:r>
            <w:r>
              <w:rPr>
                <w:rFonts w:hint="eastAsia"/>
                <w:lang w:val="en-US" w:eastAsia="zh-CN"/>
              </w:rPr>
              <w:t>6岁</w:t>
            </w:r>
          </w:p>
        </w:tc>
        <w:tc>
          <w:tcPr>
            <w:tcW w:w="3356" w:type="dxa"/>
            <w:vAlign w:val="center"/>
          </w:tcPr>
          <w:p>
            <w:pPr>
              <w:pStyle w:val="5"/>
              <w:widowControl w:val="0"/>
              <w:spacing w:beforeLines="0" w:afterLines="0"/>
              <w:jc w:val="both"/>
              <w:rPr>
                <w:rFonts w:hint="eastAsia" w:eastAsiaTheme="minorEastAsia"/>
                <w:lang w:eastAsia="zh-CN"/>
              </w:rPr>
            </w:pPr>
            <w:r>
              <w:t>性别：</w:t>
            </w:r>
            <w:r>
              <w:rPr>
                <w:rFonts w:hint="eastAsia"/>
                <w:lang w:eastAsia="zh-CN"/>
              </w:rPr>
              <w:t>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34" w:type="dxa"/>
            <w:vAlign w:val="center"/>
          </w:tcPr>
          <w:p>
            <w:pPr>
              <w:pStyle w:val="5"/>
              <w:widowControl w:val="0"/>
              <w:spacing w:beforeLines="0" w:afterLines="0"/>
              <w:jc w:val="center"/>
              <w:rPr>
                <w:rFonts w:eastAsiaTheme="minorEastAsia"/>
                <w:b w:val="0"/>
                <w:bCs/>
                <w:lang w:eastAsia="zh-CN"/>
              </w:rPr>
            </w:pPr>
            <w:r>
              <w:rPr>
                <w:b w:val="0"/>
                <w:bCs/>
                <w:lang w:eastAsia="zh-CN"/>
              </w:rPr>
              <w:t>观察时间</w:t>
            </w:r>
          </w:p>
        </w:tc>
        <w:tc>
          <w:tcPr>
            <w:tcW w:w="3121" w:type="dxa"/>
            <w:gridSpan w:val="2"/>
          </w:tcPr>
          <w:p>
            <w:pPr>
              <w:pStyle w:val="5"/>
              <w:widowControl w:val="0"/>
              <w:spacing w:beforeLines="0" w:afterLine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第二周区域时间</w:t>
            </w:r>
          </w:p>
        </w:tc>
        <w:tc>
          <w:tcPr>
            <w:tcW w:w="3020" w:type="dxa"/>
          </w:tcPr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/>
              </w:rPr>
            </w:pPr>
            <w:r>
              <w:rPr>
                <w:lang w:eastAsia="zh-CN"/>
              </w:rPr>
              <w:t>观察地点</w:t>
            </w:r>
            <w:r>
              <w:rPr>
                <w:rFonts w:hint="eastAsia"/>
                <w:lang w:eastAsia="zh-CN"/>
              </w:rPr>
              <w:t>：大</w:t>
            </w:r>
            <w:r>
              <w:rPr>
                <w:rFonts w:hint="eastAsia"/>
                <w:lang w:val="en-US" w:eastAsia="zh-CN"/>
              </w:rPr>
              <w:t>2班益智区</w:t>
            </w:r>
          </w:p>
        </w:tc>
        <w:tc>
          <w:tcPr>
            <w:tcW w:w="3356" w:type="dxa"/>
          </w:tcPr>
          <w:p>
            <w:pPr>
              <w:pStyle w:val="5"/>
              <w:widowControl w:val="0"/>
              <w:spacing w:beforeLines="0" w:afterLines="0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138" w:type="dxa"/>
            <w:gridSpan w:val="2"/>
            <w:vAlign w:val="center"/>
          </w:tcPr>
          <w:p>
            <w:pPr>
              <w:pStyle w:val="5"/>
              <w:widowControl w:val="0"/>
              <w:spacing w:beforeLines="0" w:afterLines="0"/>
              <w:jc w:val="center"/>
              <w:rPr>
                <w:rFonts w:eastAsiaTheme="minorEastAsia"/>
                <w:b w:val="0"/>
                <w:bCs/>
                <w:lang w:eastAsia="zh-CN"/>
              </w:rPr>
            </w:pPr>
            <w:r>
              <w:rPr>
                <w:b w:val="0"/>
                <w:bCs/>
                <w:lang w:eastAsia="zh-CN"/>
              </w:rPr>
              <w:t>观察目的</w:t>
            </w:r>
          </w:p>
        </w:tc>
        <w:tc>
          <w:tcPr>
            <w:tcW w:w="9493" w:type="dxa"/>
            <w:gridSpan w:val="3"/>
            <w:vAlign w:val="center"/>
          </w:tcPr>
          <w:p>
            <w:pPr>
              <w:pStyle w:val="5"/>
              <w:widowControl w:val="0"/>
              <w:spacing w:beforeLines="0" w:afterLine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在游戏中遇到问题能坚持不放弃，尝试主动探索、同伴互学、反复练习等多种办法解决问题。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138" w:type="dxa"/>
            <w:gridSpan w:val="2"/>
            <w:vAlign w:val="center"/>
          </w:tcPr>
          <w:p>
            <w:pPr>
              <w:pStyle w:val="5"/>
              <w:widowControl w:val="0"/>
              <w:spacing w:beforeLines="0" w:afterLines="0"/>
              <w:jc w:val="center"/>
              <w:rPr>
                <w:rFonts w:eastAsiaTheme="minorEastAsia"/>
                <w:b w:val="0"/>
                <w:bCs/>
                <w:lang w:eastAsia="zh-CN"/>
              </w:rPr>
            </w:pPr>
            <w:r>
              <w:rPr>
                <w:b w:val="0"/>
                <w:bCs/>
                <w:lang w:eastAsia="zh-CN"/>
              </w:rPr>
              <w:t>观察内容</w:t>
            </w:r>
          </w:p>
        </w:tc>
        <w:tc>
          <w:tcPr>
            <w:tcW w:w="9493" w:type="dxa"/>
            <w:gridSpan w:val="3"/>
            <w:vAlign w:val="center"/>
          </w:tcPr>
          <w:p>
            <w:pPr>
              <w:pStyle w:val="5"/>
              <w:widowControl w:val="0"/>
              <w:spacing w:beforeLines="0" w:afterLines="0"/>
            </w:pPr>
            <w:r>
              <w:rPr>
                <w:rFonts w:hint="eastAsia"/>
                <w:lang w:val="en-US" w:eastAsia="zh-CN"/>
              </w:rPr>
              <w:t>观察幼儿在益智区“积木对战”这一游戏中的行为表现。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0631" w:type="dxa"/>
            <w:gridSpan w:val="5"/>
            <w:vAlign w:val="center"/>
          </w:tcPr>
          <w:p>
            <w:pPr>
              <w:pStyle w:val="5"/>
              <w:widowControl w:val="0"/>
              <w:spacing w:beforeLines="0" w:afterLines="0"/>
              <w:rPr>
                <w:b/>
                <w:bCs/>
              </w:rPr>
            </w:pPr>
            <w:r>
              <w:rPr>
                <w:b/>
                <w:bCs/>
              </w:rPr>
              <w:t>观察</w:t>
            </w:r>
            <w:r>
              <w:rPr>
                <w:b/>
                <w:bCs/>
                <w:lang w:eastAsia="zh-CN"/>
              </w:rPr>
              <w:t>实录</w:t>
            </w:r>
            <w:r>
              <w:rPr>
                <w:b/>
                <w:bCs/>
              </w:rPr>
              <w:t>：</w:t>
            </w:r>
          </w:p>
          <w:p>
            <w:pPr>
              <w:pStyle w:val="5"/>
              <w:widowControl w:val="0"/>
              <w:spacing w:beforeLines="0" w:afterLines="0"/>
            </w:pP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第一次：2021.9.6区域游戏时间。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游戏积木对战是本学期新投入的材料，航航和轩轩都是首次挑战这一材料。他们拿出材料仔细地看了说明，就开始游戏了。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图1：两人认真对照图纸进行积木摆放。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图2：航航摆放了一会儿后全部拿走，重新摆放。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图3：航航越过图卡，看了一眼轩轩。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图4：航航也在右边摆放了三个黄色积木。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图5：航航看了一眼在旁边拍摄的老师，继续自己的操作。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图6：航航仔细看图卡。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图7：轩轩开心地告诉老师，我完成了。航航摁铃，并说：我帮他摁的。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图8：航航调整自己的积木摆放，把黄色积木放到了左手边。</w:t>
            </w:r>
          </w:p>
          <w:p>
            <w:pPr>
              <w:pStyle w:val="5"/>
              <w:widowControl w:val="0"/>
              <w:spacing w:beforeLines="0" w:afterLine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82925" cy="1760220"/>
                  <wp:effectExtent l="0" t="0" r="3175" b="11430"/>
                  <wp:docPr id="2" name="图片 2" descr="IMG_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4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868" r="9417" b="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52445" cy="1760220"/>
                  <wp:effectExtent l="0" t="0" r="14605" b="11430"/>
                  <wp:docPr id="3" name="图片 3" descr="IMG_6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4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868" r="9705" b="-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图1                                              图2</w:t>
            </w:r>
          </w:p>
          <w:p>
            <w:pPr>
              <w:pStyle w:val="5"/>
              <w:widowControl w:val="0"/>
              <w:spacing w:beforeLines="0" w:afterLine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95625" cy="1772285"/>
                  <wp:effectExtent l="0" t="0" r="9525" b="18415"/>
                  <wp:docPr id="4" name="图片 4" descr="IMG_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4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012" r="9417" b="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95320" cy="1778000"/>
                  <wp:effectExtent l="0" t="0" r="5080" b="12700"/>
                  <wp:docPr id="7" name="图片 7" descr="IMG_6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726" t="7798" r="16537" b="15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图3                                              图4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27375" cy="1788160"/>
                  <wp:effectExtent l="0" t="0" r="15875" b="2540"/>
                  <wp:docPr id="8" name="图片 8" descr="IMG_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724" r="9417" b="-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3124200" cy="1795145"/>
                  <wp:effectExtent l="0" t="0" r="0" b="14605"/>
                  <wp:docPr id="9" name="图片 9" descr="IMG_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012" r="9561" b="-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图5                                              图6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31820" cy="1803400"/>
                  <wp:effectExtent l="0" t="0" r="11430" b="6350"/>
                  <wp:docPr id="10" name="图片 10" descr="IMG_6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4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012" r="9561" b="-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47060" cy="1796415"/>
                  <wp:effectExtent l="0" t="0" r="15240" b="13335"/>
                  <wp:docPr id="11" name="图片 11" descr="IMG_6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4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0012" r="9849" b="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图7                                             图8</w:t>
            </w:r>
          </w:p>
          <w:p>
            <w:pPr>
              <w:pStyle w:val="5"/>
              <w:widowControl w:val="0"/>
              <w:spacing w:beforeLines="0" w:afterLines="0"/>
            </w:pP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 xml:space="preserve">  经过第一次挑战以后，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我把“积木对战”这套材料和幼儿一起分享，引导孩子关注材料，数数积木有多少，观察题卡上有什么，猜猜游戏可能的玩法。对于图卡上的数字，幼儿也提出了自己的想法，有的说是为了分类，红色积木就是1……有的说可能是代表积木的数量……渐渐的，游戏的玩法更加明晰。我还对材料进行了调整，拿掉部分带数字的题卡，只放了几张有数字的题卡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第二次：2021.9.9区域游戏时间。</w:t>
            </w:r>
          </w:p>
          <w:p>
            <w:pPr>
              <w:pStyle w:val="5"/>
              <w:widowControl w:val="0"/>
              <w:spacing w:beforeLines="0" w:afterLines="0" w:line="360" w:lineRule="auto"/>
              <w:ind w:firstLine="480" w:firstLineChars="200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第二次挑战“积木对战”，有过一些经验：经过上次的分享交流，明白积木上的数字代表积木的块数，但是对于积木的“叠放”还没有经验。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图1：游戏刚开始，两人都在平铺积木。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图2：轩轩很快按铃说：我完成了。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图3：航航越过图卡看了一眼轩轩。接着继续摆放，接着又看了一眼，再继续。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图4：轩轩走到航航旁边，两人交流起来。轩轩说：我来帮你吧。于是两人一起摆放。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图5：轩轩边看图卡边帮助航航摆放积木，看着看着，突然叫了起来：看，图卡上有数字！说完就回到了自己的位置上。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图6：轩轩按照图卡上的数字叠放积木。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图7：航航开始摆弄旁边的数卡。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图8：轩轩很快再次完成了，并按铃。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图9：轩轩走到航航旁边，再次帮助航航检查。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图10：轩轩指着图卡上的数字对航航说：航航，图卡上有数字的，你看。航航看了看图卡，点了点头。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图11：轩轩继续说：数字2就要放两块。说着就帮航航叠放了一块黄色积木。</w:t>
            </w:r>
          </w:p>
          <w:p>
            <w:pPr>
              <w:pStyle w:val="5"/>
              <w:widowControl w:val="0"/>
              <w:spacing w:beforeLines="0" w:afterLines="0" w:line="360" w:lineRule="auto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图12：很快，在轩轩的帮助下，航航很快就完成了，完成以后，两人交换检查。</w:t>
            </w:r>
          </w:p>
          <w:p>
            <w:pPr>
              <w:pStyle w:val="5"/>
              <w:widowControl w:val="0"/>
              <w:spacing w:beforeLines="0" w:afterLine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21965" cy="1721485"/>
                  <wp:effectExtent l="0" t="0" r="6985" b="12065"/>
                  <wp:docPr id="5" name="图片 5" descr="IMG_6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4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9580" r="9273" b="-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98775" cy="1711325"/>
                  <wp:effectExtent l="0" t="0" r="15875" b="3175"/>
                  <wp:docPr id="12" name="图片 12" descr="IMG_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4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712" r="9488" b="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图1                                             图2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90875" cy="1844040"/>
                  <wp:effectExtent l="0" t="0" r="9525" b="3810"/>
                  <wp:docPr id="13" name="图片 13" descr="IMG_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4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012" t="936" r="10570" b="-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87065" cy="1856105"/>
                  <wp:effectExtent l="0" t="0" r="13335" b="10795"/>
                  <wp:docPr id="14" name="图片 14" descr="IMG_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4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157" r="10137" b="-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图3                                              图4</w:t>
            </w:r>
          </w:p>
          <w:p>
            <w:pPr>
              <w:pStyle w:val="5"/>
              <w:widowControl w:val="0"/>
              <w:spacing w:beforeLines="0" w:afterLine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97430" cy="1802765"/>
                  <wp:effectExtent l="0" t="0" r="7620" b="6985"/>
                  <wp:docPr id="15" name="图片 15" descr="IMG_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4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967" r="21092" b="1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56585" cy="1822450"/>
                  <wp:effectExtent l="0" t="0" r="5715" b="6350"/>
                  <wp:docPr id="16" name="图片 16" descr="IMG_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4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0445" r="9993" b="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图5                                               图6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78175" cy="1807210"/>
                  <wp:effectExtent l="0" t="0" r="3175" b="2540"/>
                  <wp:docPr id="17" name="图片 17" descr="IMG_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4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0012" r="9705" b="1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26105" cy="1789430"/>
                  <wp:effectExtent l="0" t="0" r="17145" b="1270"/>
                  <wp:docPr id="18" name="图片 18" descr="IMG_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4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724" r="9705" b="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图7                                                 图8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172460" cy="1816100"/>
                  <wp:effectExtent l="0" t="0" r="8890" b="12700"/>
                  <wp:docPr id="19" name="图片 19" descr="IMG_6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4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0301" r="9705" b="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3167380" cy="1826260"/>
                  <wp:effectExtent l="0" t="0" r="13970" b="2540"/>
                  <wp:docPr id="20" name="图片 20" descr="IMG_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4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0012" r="9561" b="-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图9                                                 图10</w:t>
            </w:r>
          </w:p>
          <w:p>
            <w:pPr>
              <w:pStyle w:val="5"/>
              <w:widowControl w:val="0"/>
              <w:spacing w:beforeLines="0" w:afterLine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85160" cy="1825625"/>
                  <wp:effectExtent l="0" t="0" r="15240" b="3175"/>
                  <wp:docPr id="21" name="图片 21" descr="IMG_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4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9868" r="9993" b="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83255" cy="1838325"/>
                  <wp:effectExtent l="0" t="0" r="17145" b="9525"/>
                  <wp:docPr id="22" name="图片 22" descr="IMG_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4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0589" t="312" r="10282" b="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widowControl w:val="0"/>
              <w:spacing w:beforeLines="0" w:afterLines="0"/>
            </w:pPr>
            <w:r>
              <w:rPr>
                <w:rFonts w:hint="eastAsia"/>
                <w:lang w:val="en-US" w:eastAsia="zh-CN"/>
              </w:rPr>
              <w:t xml:space="preserve">                  图11                                                 图12</w:t>
            </w:r>
          </w:p>
          <w:p>
            <w:pPr>
              <w:pStyle w:val="5"/>
              <w:widowControl w:val="0"/>
              <w:spacing w:beforeLines="0" w:afterLines="0"/>
            </w:pPr>
          </w:p>
          <w:p>
            <w:pPr>
              <w:pStyle w:val="5"/>
              <w:widowControl w:val="0"/>
              <w:spacing w:beforeLines="0" w:afterLines="0"/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0631" w:type="dxa"/>
            <w:gridSpan w:val="5"/>
            <w:vAlign w:val="center"/>
          </w:tcPr>
          <w:p>
            <w:pPr>
              <w:pStyle w:val="5"/>
              <w:widowControl w:val="0"/>
              <w:spacing w:beforeLines="0" w:afterLines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解读分析</w:t>
            </w:r>
            <w:r>
              <w:rPr>
                <w:b/>
                <w:bCs/>
                <w:sz w:val="24"/>
                <w:szCs w:val="24"/>
                <w:lang w:val="en-US" w:eastAsia="zh-CN"/>
              </w:rPr>
              <w:t>(策略跟进）</w:t>
            </w:r>
            <w:r>
              <w:rPr>
                <w:b/>
                <w:bCs/>
                <w:sz w:val="24"/>
                <w:szCs w:val="24"/>
              </w:rPr>
              <w:t>：</w:t>
            </w:r>
          </w:p>
          <w:p>
            <w:pPr>
              <w:spacing w:line="360" w:lineRule="auto"/>
              <w:ind w:firstLine="240" w:firstLineChars="100"/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对接</w: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《3～6岁儿童学习与发展指南》大班社会领域及科学领域：</w:t>
            </w:r>
          </w:p>
          <w:tbl>
            <w:tblPr>
              <w:tblStyle w:val="2"/>
              <w:tblpPr w:leftFromText="180" w:rightFromText="180" w:vertAnchor="text" w:horzAnchor="page" w:tblpXSpec="center" w:tblpY="58"/>
              <w:tblOverlap w:val="never"/>
              <w:tblW w:w="9898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15"/>
              <w:gridCol w:w="3255"/>
              <w:gridCol w:w="542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478" w:hRule="atLeast"/>
                <w:jc w:val="center"/>
              </w:trPr>
              <w:tc>
                <w:tcPr>
                  <w:tcW w:w="1215" w:type="dxa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一级指标</w:t>
                  </w:r>
                </w:p>
              </w:tc>
              <w:tc>
                <w:tcPr>
                  <w:tcW w:w="3255" w:type="dxa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二级指标</w:t>
                  </w:r>
                </w:p>
              </w:tc>
              <w:tc>
                <w:tcPr>
                  <w:tcW w:w="5428" w:type="dxa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三级指标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2" w:hRule="atLeast"/>
                <w:jc w:val="center"/>
              </w:trPr>
              <w:tc>
                <w:tcPr>
                  <w:tcW w:w="1215" w:type="dxa"/>
                  <w:vMerge w:val="restart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人际交往</w:t>
                  </w:r>
                </w:p>
              </w:tc>
              <w:tc>
                <w:tcPr>
                  <w:tcW w:w="3255" w:type="dxa"/>
                  <w:vAlign w:val="center"/>
                </w:tcPr>
                <w:p>
                  <w:pPr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愿意与人交往</w:t>
                  </w: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jc w:val="both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有问题愿意向别人请教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9" w:hRule="atLeast"/>
                <w:jc w:val="center"/>
              </w:trPr>
              <w:tc>
                <w:tcPr>
                  <w:tcW w:w="1215" w:type="dxa"/>
                  <w:vMerge w:val="continue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255" w:type="dxa"/>
                  <w:vMerge w:val="restart"/>
                  <w:vAlign w:val="center"/>
                </w:tcPr>
                <w:p>
                  <w:pPr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具有自尊、自信、自主的表现</w:t>
                  </w: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能主动发起活动或在活动中出主意、想办法。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28" w:hRule="atLeast"/>
                <w:jc w:val="center"/>
              </w:trPr>
              <w:tc>
                <w:tcPr>
                  <w:tcW w:w="1215" w:type="dxa"/>
                  <w:vMerge w:val="continue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255" w:type="dxa"/>
                  <w:vMerge w:val="continue"/>
                  <w:vAlign w:val="center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主动承担任务，遇到困难能够坚持而不轻易求助。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1" w:hRule="atLeast"/>
                <w:jc w:val="center"/>
              </w:trPr>
              <w:tc>
                <w:tcPr>
                  <w:tcW w:w="1215" w:type="dxa"/>
                  <w:vMerge w:val="restart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科学探究</w:t>
                  </w:r>
                </w:p>
              </w:tc>
              <w:tc>
                <w:tcPr>
                  <w:tcW w:w="3255" w:type="dxa"/>
                  <w:vMerge w:val="restart"/>
                  <w:vAlign w:val="center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具有初步的探究能力</w:t>
                  </w: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能通过观察、比较与分析，发现并描述不同种类物体的特征或某个事物前后的变化。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4" w:hRule="atLeast"/>
                <w:jc w:val="center"/>
              </w:trPr>
              <w:tc>
                <w:tcPr>
                  <w:tcW w:w="1215" w:type="dxa"/>
                  <w:vMerge w:val="continue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255" w:type="dxa"/>
                  <w:vMerge w:val="continue"/>
                  <w:vAlign w:val="center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探究中能与他人合作与交流。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9" w:hRule="atLeast"/>
                <w:jc w:val="center"/>
              </w:trPr>
              <w:tc>
                <w:tcPr>
                  <w:tcW w:w="1215" w:type="dxa"/>
                  <w:vMerge w:val="restart"/>
                  <w:vAlign w:val="center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数学认知</w:t>
                  </w:r>
                </w:p>
              </w:tc>
              <w:tc>
                <w:tcPr>
                  <w:tcW w:w="3255" w:type="dxa"/>
                  <w:vAlign w:val="center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感知和理解数、量及数量关系</w:t>
                  </w: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借助实际情境和操作理解数与量的实际意义。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215" w:type="dxa"/>
                  <w:vMerge w:val="continue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255" w:type="dxa"/>
                  <w:vMerge w:val="restart"/>
                  <w:vAlign w:val="center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jc w:val="left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感知形状与空间关系</w:t>
                  </w: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能根据简单的示意图正确取放物品。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9" w:hRule="atLeast"/>
                <w:jc w:val="center"/>
              </w:trPr>
              <w:tc>
                <w:tcPr>
                  <w:tcW w:w="1215" w:type="dxa"/>
                  <w:vMerge w:val="continue"/>
                  <w:vAlign w:val="top"/>
                </w:tcPr>
                <w:p>
                  <w:pPr>
                    <w:autoSpaceDN w:val="0"/>
                    <w:spacing w:line="360" w:lineRule="auto"/>
                    <w:jc w:val="center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3255" w:type="dxa"/>
                  <w:vMerge w:val="continue"/>
                  <w:vAlign w:val="top"/>
                </w:tcPr>
                <w:p>
                  <w:pPr>
                    <w:tabs>
                      <w:tab w:val="left" w:pos="1047"/>
                    </w:tabs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5428" w:type="dxa"/>
                  <w:vAlign w:val="top"/>
                </w:tcPr>
                <w:p>
                  <w:pPr>
                    <w:autoSpaceDN w:val="0"/>
                    <w:spacing w:line="360" w:lineRule="auto"/>
                    <w:textAlignment w:val="top"/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 w:val="0"/>
                      <w:bCs w:val="0"/>
                      <w:color w:val="000000"/>
                      <w:sz w:val="24"/>
                      <w:szCs w:val="24"/>
                      <w:lang w:val="en-US" w:eastAsia="zh-CN"/>
                    </w:rPr>
                    <w:t>能辨别自己的左右。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案例中两名幼儿在游戏中，有问题时能通过模仿、学习他人，主动想办法，坚持完成任务。特别是航航，虽然一次次地推翻自己摆放的积木，重新开始，但是在过程中，能关注同伴的操作，在模仿和学习中反思、调整自己的操作。最后两名幼儿能通过自我检查、互相检查来完善自己的操作。在整个游戏中，既有同伴合作互学，又有竞争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“积木对战”这套材料有36张题卡，不同的布局带来不同的挑战。根据挑战题卡上的图案摆放积木，第一个完成的为赢家，这套材料涉及到科学领域的探究、数量、形状与空间关系等核心经验。案例中的两位幼儿进行了两次游戏，时隔三天。第一次游戏，是材料刚投入区域的第一天，两名幼儿通过学习挑战说明书来了解规则，自主游戏。整个游戏过程中，两名幼儿没有关注到挑战题卡上的数字。在游戏后的分享交流中，我把“积木对战”这套材料和幼儿一起分享，引导孩子关注材料，数数积木有多少，观察题卡上有什么，从而推断游戏可能的玩法，利用生生差异进行经验互补。关于题卡上的数字，幼儿也提出了自己的想法，有的说是为了分类，红色积木就是1……有的说可能是代表积木的数量……在经验的互补、思维的碰撞中，游戏的玩法渐渐更加明晰。从第一次的游戏中，我也发现可能太多的题卡会干扰幼儿的游戏，题卡上的数字对于刚升入大班的幼儿来说还比较有挑战，因此我对材料进行了调整，拿掉部分带数字的题卡，只放了几张有数字的题卡。在第二次的游戏中，轩轩明显对数字更加敏感，对“叠放”有经验，很快完成了挑战，而航航在轩轩的提醒下，在学习同伴的经验基础上，调整自己的操作，也很快完成了任务，获得了成功的喜悦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对接</w: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《发展常模列表》</w:t>
            </w:r>
            <w:r>
              <w:rPr>
                <w:rFonts w:hint="eastAsia"/>
                <w:sz w:val="24"/>
                <w:szCs w:val="32"/>
                <w:lang w:val="en-US" w:eastAsia="zh-CN"/>
              </w:rPr>
              <w:t>：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99"/>
              <w:gridCol w:w="4382"/>
              <w:gridCol w:w="284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9" w:type="dxa"/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大致年龄</w:t>
                  </w:r>
                </w:p>
              </w:tc>
              <w:tc>
                <w:tcPr>
                  <w:tcW w:w="4382" w:type="dxa"/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情绪情感和社会性发展</w:t>
                  </w:r>
                </w:p>
              </w:tc>
              <w:tc>
                <w:tcPr>
                  <w:tcW w:w="2841" w:type="dxa"/>
                </w:tcPr>
                <w:p>
                  <w:pPr>
                    <w:spacing w:line="360" w:lineRule="auto"/>
                    <w:jc w:val="center"/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  <w:t>相关观点或理论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9" w:type="dxa"/>
                  <w:vMerge w:val="restart"/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5岁</w:t>
                  </w:r>
                </w:p>
              </w:tc>
              <w:tc>
                <w:tcPr>
                  <w:tcW w:w="4382" w:type="dxa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自信</w:t>
                  </w:r>
                </w:p>
              </w:tc>
              <w:tc>
                <w:tcPr>
                  <w:tcW w:w="2841" w:type="dxa"/>
                  <w:vMerge w:val="restart"/>
                </w:tcPr>
                <w:p>
                  <w:pPr>
                    <w:spacing w:line="360" w:lineRule="auto"/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  <w:t>罗杰斯——自我概念的发展</w:t>
                  </w:r>
                </w:p>
                <w:p>
                  <w:pPr>
                    <w:spacing w:line="360" w:lineRule="auto"/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  <w:t>基础阶段课程</w:t>
                  </w:r>
                </w:p>
                <w:p>
                  <w:pPr>
                    <w:spacing w:line="360" w:lineRule="auto"/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  <w:t>斯金纳——行为主义</w:t>
                  </w:r>
                </w:p>
                <w:p>
                  <w:pPr>
                    <w:spacing w:line="360" w:lineRule="auto"/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32"/>
                      <w:vertAlign w:val="baseline"/>
                      <w:lang w:val="en-US" w:eastAsia="zh-CN"/>
                    </w:rPr>
                    <w:t>国家课程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9" w:type="dxa"/>
                  <w:vMerge w:val="continue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382" w:type="dxa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仍然寻求成人的赞许。</w:t>
                  </w:r>
                </w:p>
              </w:tc>
              <w:tc>
                <w:tcPr>
                  <w:tcW w:w="2841" w:type="dxa"/>
                  <w:vMerge w:val="continue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9" w:type="dxa"/>
                  <w:vMerge w:val="continue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382" w:type="dxa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和女孩、男孩合作游戏</w:t>
                  </w:r>
                </w:p>
              </w:tc>
              <w:tc>
                <w:tcPr>
                  <w:tcW w:w="2841" w:type="dxa"/>
                  <w:vMerge w:val="continue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99" w:type="dxa"/>
                  <w:vMerge w:val="continue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382" w:type="dxa"/>
                </w:tcPr>
                <w:p>
                  <w:pPr>
                    <w:spacing w:line="360" w:lineRule="auto"/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4"/>
                      <w:szCs w:val="32"/>
                      <w:vertAlign w:val="baseline"/>
                      <w:lang w:val="en-US" w:eastAsia="zh-CN"/>
                    </w:rPr>
                    <w:t>表现出想做好的愿望，面对任务具有坚持性。</w:t>
                  </w:r>
                </w:p>
              </w:tc>
              <w:tc>
                <w:tcPr>
                  <w:tcW w:w="2841" w:type="dxa"/>
                  <w:vMerge w:val="continue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对接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《学前儿童发展心理学》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，第三章：交往中的学前儿童心理学第三节：学前儿童的同伴关系。人际关系有两种不同性质的关系：垂直关系、水平关系。水平关系是指儿童与同伴之间的一种关系。而本案例中两位观察对象的关系就是属于水平关系。20世纪80年代，豪斯对儿童社会性游戏进行了观察研究，将它分为五个不同层次：平行游戏、共同关系焦点的平行游戏、简单的社会性游戏、共同意识的互补性和互惠的社会性游戏、互补和互惠的社会性游戏。依据书中的解释，本案例中两位幼儿的行为是共同意识的互补性和互惠的社会性游戏。轩轩在游戏中看到航航遇到困难时，会主动给予帮助，同时，他们共同参加对战积木的游戏，并互相学习、互相竞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支持策略：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从案例中可以看出轩轩对数字比较敏感，空间思维、对新知识的接受能力都比较强，而航航在游戏中常常显得犹豫不决，目光的闪烁、随意堆叠积木、多次推翻积木重新开始等行为都能看出航航对于自己的不够自信，想要更多地去模仿、学习同伴，多次用目光寻求同伴、老师的关注和帮助。基于这些分析，我们可以从以下几方面来帮助、引导幼儿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1、设置不同层次的关卡，挑战不同难度，满足不同能力层次幼儿的需要；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2、擂台挑战赛：设置奖励，所获奖励可用于获取选择游戏的资格（自选、大家都想玩的）；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3、关注幼儿的情绪，对于航航的不自信，我们可从以下几方面进行引导：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（1）经常鼓励航航，放大其优点，经常当众表扬他，激发航航的自信心。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（2）选择适合的绘本如《我喜欢我自己》、《胆小鬼威利》等，帮助幼儿建立自信心。</w:t>
            </w:r>
          </w:p>
          <w:p>
            <w:pPr>
              <w:spacing w:line="360" w:lineRule="auto"/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（3）家园联系：和航航家长取得联系，和家长分享这一案例，并共同商量、制定相应的措施帮助航航建立自信。</w:t>
            </w:r>
            <w:bookmarkStart w:id="0" w:name="_GoBack"/>
            <w:bookmarkEnd w:id="0"/>
          </w:p>
        </w:tc>
      </w:tr>
    </w:tbl>
    <w:p>
      <w:pPr>
        <w:pStyle w:val="5"/>
      </w:pPr>
    </w:p>
    <w:sectPr>
      <w:headerReference r:id="rId3" w:type="default"/>
      <w:footerReference r:id="rId4" w:type="default"/>
      <w:pgSz w:w="11906" w:h="16838"/>
      <w:pgMar w:top="703" w:right="567" w:bottom="703" w:left="851" w:header="851" w:footer="992" w:gutter="0"/>
      <w:pgNumType w:fmt="decimal"/>
      <w:formProt w:val="0"/>
      <w:docGrid w:type="lines" w:linePitch="312" w:charSpace="4300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Chars="700"/>
      <w:jc w:val="both"/>
      <w:rPr>
        <w:rFonts w:eastAsia="宋体"/>
        <w:sz w:val="24"/>
        <w:szCs w:val="24"/>
        <w:lang w:val="en-US" w:eastAsia="zh-CN"/>
      </w:rPr>
    </w:pPr>
    <w:r>
      <w:drawing>
        <wp:anchor distT="0" distB="0" distL="0" distR="0" simplePos="0" relativeHeight="1024" behindDoc="1" locked="0" layoutInCell="0" allowOverlap="1">
          <wp:simplePos x="0" y="0"/>
          <wp:positionH relativeFrom="column">
            <wp:posOffset>-49530</wp:posOffset>
          </wp:positionH>
          <wp:positionV relativeFrom="paragraph">
            <wp:posOffset>-231140</wp:posOffset>
          </wp:positionV>
          <wp:extent cx="800100" cy="600075"/>
          <wp:effectExtent l="0" t="0" r="0" b="0"/>
          <wp:wrapNone/>
          <wp:docPr id="1" name="图片 4" descr="d:\Documents\Tencent Files\1263979554\Image\C2C\E3I3)99`7EO@N2HJ}4I2CI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d:\Documents\Tencent Files\1263979554\Image\C2C\E3I3)99`7EO@N2HJ}4I2CIU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1"/>
        <w:szCs w:val="21"/>
        <w:lang w:val="en-US" w:eastAsia="zh-CN"/>
      </w:rPr>
      <w:t>朵朵花儿向阳开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autoHyphenation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1B0667"/>
    <w:rsid w:val="5A221034"/>
    <w:rsid w:val="66E1663C"/>
    <w:rsid w:val="6AEE2AB5"/>
    <w:rsid w:val="6F701E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hi-IN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afterLines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2"/>
      <w:lang w:val="en-US" w:eastAsia="zh-CN" w:bidi="ar-SA"/>
    </w:rPr>
  </w:style>
  <w:style w:type="paragraph" w:customStyle="1" w:styleId="6">
    <w:name w:val="页脚1"/>
    <w:basedOn w:val="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页眉1"/>
    <w:basedOn w:val="5"/>
    <w:semiHidden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70</Words>
  <Characters>70</Characters>
  <Paragraphs>13</Paragraphs>
  <TotalTime>4</TotalTime>
  <ScaleCrop>false</ScaleCrop>
  <LinksUpToDate>false</LinksUpToDate>
  <CharactersWithSpaces>122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2019-08-28T07:50:00Z</dcterms:created>
  <dc:creator>lenovo</dc:creator>
  <cp:lastModifiedBy>琴琴</cp:lastModifiedBy>
  <cp:lastPrinted>2018-03-27T00:34:00Z</cp:lastPrinted>
  <dcterms:modified xsi:type="dcterms:W3CDTF">2021-09-19T11:33:18Z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36B7568FAA9746C8A48153DC6A343B88</vt:lpwstr>
  </property>
  <property fmtid="{D5CDD505-2E9C-101B-9397-08002B2CF9AE}" pid="3" name="KSOProductBuildVer">
    <vt:lpwstr>2052-11.1.0.10314</vt:lpwstr>
  </property>
</Properties>
</file>