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幼儿生态运动游戏和健康活动文本目标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社会性要素分析报告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通过对幼儿园园本课程内的所有生态运动游戏和健康活动的文本目标进行梳理，我们得出以下数据：</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文本要素提炼：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4"/>
          <w:szCs w:val="24"/>
          <w:lang w:val="en-US" w:eastAsia="zh-CN"/>
        </w:rPr>
        <w:t>小班生态运动游戏（17节）社会性要素提炼：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34"/>
        <w:gridCol w:w="1534"/>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亲社会行为出现种类及频次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种类</w:t>
            </w:r>
          </w:p>
        </w:tc>
        <w:tc>
          <w:tcPr>
            <w:tcW w:w="1534"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安慰</w:t>
            </w:r>
          </w:p>
        </w:tc>
        <w:tc>
          <w:tcPr>
            <w:tcW w:w="1534"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助人</w:t>
            </w:r>
          </w:p>
        </w:tc>
        <w:tc>
          <w:tcPr>
            <w:tcW w:w="1534"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合作</w:t>
            </w:r>
          </w:p>
        </w:tc>
        <w:tc>
          <w:tcPr>
            <w:tcW w:w="1534"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分享</w:t>
            </w:r>
          </w:p>
        </w:tc>
        <w:tc>
          <w:tcPr>
            <w:tcW w:w="1534"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频次</w:t>
            </w:r>
          </w:p>
        </w:tc>
        <w:tc>
          <w:tcPr>
            <w:tcW w:w="1534"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534"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534"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1534"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534"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共计</w:t>
            </w:r>
          </w:p>
        </w:tc>
        <w:tc>
          <w:tcPr>
            <w:tcW w:w="7670" w:type="dxa"/>
            <w:gridSpan w:val="5"/>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r>
    </w:tbl>
    <w:p>
      <w:pP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小班健康活动（30节）社会性要素提炼：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34"/>
        <w:gridCol w:w="1534"/>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亲社会行为出现种类及频次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种类</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安慰</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助人</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合作</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分享</w:t>
            </w:r>
          </w:p>
        </w:tc>
        <w:tc>
          <w:tcPr>
            <w:tcW w:w="1534" w:type="dxa"/>
            <w:vAlign w:val="top"/>
          </w:tcPr>
          <w:p>
            <w:pPr>
              <w:jc w:val="center"/>
            </w:pPr>
            <w:r>
              <w:rPr>
                <w:rFonts w:hint="eastAsia" w:ascii="宋体" w:hAnsi="宋体" w:eastAsia="宋体" w:cs="宋体"/>
                <w:b w:val="0"/>
                <w:bCs w:val="0"/>
                <w:sz w:val="21"/>
                <w:szCs w:val="21"/>
                <w:vertAlign w:val="baseline"/>
                <w:lang w:val="en-US" w:eastAsia="zh-CN"/>
              </w:rPr>
              <w:t>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频次</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534" w:type="dxa"/>
            <w:vAlign w:val="top"/>
          </w:tcPr>
          <w:p>
            <w:pPr>
              <w:jc w:val="center"/>
              <w:rPr>
                <w:rFonts w:hint="default"/>
                <w:lang w:val="en-US"/>
              </w:rPr>
            </w:pPr>
            <w:r>
              <w:rPr>
                <w:rFonts w:hint="eastAsia" w:ascii="宋体" w:hAnsi="宋体" w:eastAsia="宋体" w:cs="宋体"/>
                <w:b w:val="0"/>
                <w:bCs w:val="0"/>
                <w:sz w:val="21"/>
                <w:szCs w:val="21"/>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共计</w:t>
            </w:r>
          </w:p>
        </w:tc>
        <w:tc>
          <w:tcPr>
            <w:tcW w:w="7670" w:type="dxa"/>
            <w:gridSpan w:val="5"/>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中班生态运动游戏（19节）社会性要素提炼：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34"/>
        <w:gridCol w:w="1534"/>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6"/>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亲社会行为出现种类及频次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种类</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安慰</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助人</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合作</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分享</w:t>
            </w:r>
          </w:p>
        </w:tc>
        <w:tc>
          <w:tcPr>
            <w:tcW w:w="1534" w:type="dxa"/>
            <w:vAlign w:val="top"/>
          </w:tcPr>
          <w:p>
            <w:pPr>
              <w:jc w:val="center"/>
            </w:pPr>
            <w:r>
              <w:rPr>
                <w:rFonts w:hint="eastAsia" w:ascii="宋体" w:hAnsi="宋体" w:eastAsia="宋体" w:cs="宋体"/>
                <w:b w:val="0"/>
                <w:bCs w:val="0"/>
                <w:sz w:val="21"/>
                <w:szCs w:val="21"/>
                <w:vertAlign w:val="baseline"/>
                <w:lang w:val="en-US" w:eastAsia="zh-CN"/>
              </w:rPr>
              <w:t>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频次</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534" w:type="dxa"/>
            <w:vAlign w:val="top"/>
          </w:tcPr>
          <w:p>
            <w:pPr>
              <w:jc w:val="center"/>
              <w:rPr>
                <w:rFonts w:hint="default"/>
                <w:lang w:val="en-US"/>
              </w:rPr>
            </w:pPr>
            <w:r>
              <w:rPr>
                <w:rFonts w:hint="eastAsia" w:ascii="宋体" w:hAnsi="宋体" w:eastAsia="宋体" w:cs="宋体"/>
                <w:b w:val="0"/>
                <w:bCs w:val="0"/>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共计</w:t>
            </w:r>
          </w:p>
        </w:tc>
        <w:tc>
          <w:tcPr>
            <w:tcW w:w="7670" w:type="dxa"/>
            <w:gridSpan w:val="5"/>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中班健康活动（30节）社会性要素提炼：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34"/>
        <w:gridCol w:w="1534"/>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亲社会行为出现种类及频次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种类</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安慰</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助人</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合作</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分享</w:t>
            </w:r>
          </w:p>
        </w:tc>
        <w:tc>
          <w:tcPr>
            <w:tcW w:w="1534" w:type="dxa"/>
            <w:vAlign w:val="top"/>
          </w:tcPr>
          <w:p>
            <w:pPr>
              <w:jc w:val="center"/>
            </w:pPr>
            <w:r>
              <w:rPr>
                <w:rFonts w:hint="eastAsia" w:ascii="宋体" w:hAnsi="宋体" w:eastAsia="宋体" w:cs="宋体"/>
                <w:b w:val="0"/>
                <w:bCs w:val="0"/>
                <w:sz w:val="21"/>
                <w:szCs w:val="21"/>
                <w:vertAlign w:val="baseline"/>
                <w:lang w:val="en-US" w:eastAsia="zh-CN"/>
              </w:rPr>
              <w:t>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频次</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534" w:type="dxa"/>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1534" w:type="dxa"/>
            <w:vAlign w:val="top"/>
          </w:tcPr>
          <w:p>
            <w:pPr>
              <w:jc w:val="center"/>
              <w:rPr>
                <w:rFonts w:hint="default"/>
                <w:lang w:val="en-US"/>
              </w:rPr>
            </w:pPr>
            <w:r>
              <w:rPr>
                <w:rFonts w:hint="eastAsia" w:ascii="宋体" w:hAnsi="宋体" w:eastAsia="宋体" w:cs="宋体"/>
                <w:b w:val="0"/>
                <w:bCs w:val="0"/>
                <w:sz w:val="21"/>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共计</w:t>
            </w:r>
          </w:p>
        </w:tc>
        <w:tc>
          <w:tcPr>
            <w:tcW w:w="7670" w:type="dxa"/>
            <w:gridSpan w:val="5"/>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28</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大班生态运动游戏（20节）社会性要素提炼：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34"/>
        <w:gridCol w:w="1534"/>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亲社会行为出现种类及频次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种类</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安慰</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助人</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合作</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分享</w:t>
            </w:r>
          </w:p>
        </w:tc>
        <w:tc>
          <w:tcPr>
            <w:tcW w:w="1534" w:type="dxa"/>
            <w:vAlign w:val="top"/>
          </w:tcPr>
          <w:p>
            <w:pPr>
              <w:jc w:val="center"/>
            </w:pPr>
            <w:r>
              <w:rPr>
                <w:rFonts w:hint="eastAsia" w:ascii="宋体" w:hAnsi="宋体" w:eastAsia="宋体" w:cs="宋体"/>
                <w:b w:val="0"/>
                <w:bCs w:val="0"/>
                <w:sz w:val="21"/>
                <w:szCs w:val="21"/>
                <w:vertAlign w:val="baseline"/>
                <w:lang w:val="en-US" w:eastAsia="zh-CN"/>
              </w:rPr>
              <w:t>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频次</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534" w:type="dxa"/>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534" w:type="dxa"/>
            <w:vAlign w:val="top"/>
          </w:tcPr>
          <w:p>
            <w:pPr>
              <w:jc w:val="center"/>
              <w:rPr>
                <w:rFonts w:hint="default"/>
                <w:lang w:val="en-US"/>
              </w:rPr>
            </w:pPr>
            <w:r>
              <w:rPr>
                <w:rFonts w:hint="eastAsia" w:ascii="宋体" w:hAnsi="宋体" w:eastAsia="宋体" w:cs="宋体"/>
                <w:b w:val="0"/>
                <w:bCs w:val="0"/>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共计</w:t>
            </w:r>
          </w:p>
        </w:tc>
        <w:tc>
          <w:tcPr>
            <w:tcW w:w="7670" w:type="dxa"/>
            <w:gridSpan w:val="5"/>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w:t>
            </w:r>
          </w:p>
        </w:tc>
      </w:tr>
    </w:tbl>
    <w:p>
      <w:pP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大班健康活动（38节）社会性要素提炼：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34"/>
        <w:gridCol w:w="1534"/>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亲社会行为出现种类及频次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种类</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安慰</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助人</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合作</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分享</w:t>
            </w:r>
          </w:p>
        </w:tc>
        <w:tc>
          <w:tcPr>
            <w:tcW w:w="1534" w:type="dxa"/>
            <w:vAlign w:val="top"/>
          </w:tcPr>
          <w:p>
            <w:pPr>
              <w:jc w:val="center"/>
            </w:pPr>
            <w:r>
              <w:rPr>
                <w:rFonts w:hint="eastAsia" w:ascii="宋体" w:hAnsi="宋体" w:eastAsia="宋体" w:cs="宋体"/>
                <w:b w:val="0"/>
                <w:bCs w:val="0"/>
                <w:sz w:val="21"/>
                <w:szCs w:val="21"/>
                <w:vertAlign w:val="baseline"/>
                <w:lang w:val="en-US" w:eastAsia="zh-CN"/>
              </w:rPr>
              <w:t>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频次</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534" w:type="dxa"/>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1534" w:type="dxa"/>
            <w:vAlign w:val="top"/>
          </w:tcPr>
          <w:p>
            <w:pPr>
              <w:jc w:val="center"/>
              <w:rPr>
                <w:rFonts w:hint="default"/>
                <w:lang w:val="en-US"/>
              </w:rPr>
            </w:pPr>
            <w:r>
              <w:rPr>
                <w:rFonts w:hint="eastAsia" w:ascii="宋体" w:hAnsi="宋体" w:eastAsia="宋体" w:cs="宋体"/>
                <w:b w:val="0"/>
                <w:bCs w:val="0"/>
                <w:sz w:val="21"/>
                <w:szCs w:val="21"/>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共计</w:t>
            </w:r>
          </w:p>
        </w:tc>
        <w:tc>
          <w:tcPr>
            <w:tcW w:w="7670" w:type="dxa"/>
            <w:gridSpan w:val="5"/>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29</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宋体" w:hAnsi="宋体" w:eastAsia="宋体" w:cs="宋体"/>
          <w:sz w:val="21"/>
          <w:szCs w:val="21"/>
        </w:rPr>
      </w:pPr>
      <w:r>
        <w:rPr>
          <w:rFonts w:hint="eastAsia" w:ascii="黑体" w:hAnsi="黑体" w:eastAsia="黑体" w:cs="黑体"/>
          <w:sz w:val="30"/>
          <w:szCs w:val="30"/>
          <w:lang w:val="en-US" w:eastAsia="zh-CN"/>
        </w:rPr>
        <w:t>文本要素分析：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不同年龄段亲社会行为出现种类及频次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表1.不同年龄段幼儿生态运动游戏亲社会行为出现种类及频次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987"/>
        <w:gridCol w:w="1313"/>
        <w:gridCol w:w="1350"/>
        <w:gridCol w:w="1337"/>
        <w:gridCol w:w="1338"/>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hint="eastAsia" w:ascii="宋体" w:hAnsi="宋体" w:eastAsia="宋体" w:cs="宋体"/>
                <w:b w:val="0"/>
                <w:bCs w:val="0"/>
                <w:sz w:val="21"/>
                <w:szCs w:val="21"/>
                <w:vertAlign w:val="baseline"/>
                <w:lang w:val="en-US" w:eastAsia="zh-CN"/>
              </w:rPr>
            </w:pPr>
          </w:p>
        </w:tc>
        <w:tc>
          <w:tcPr>
            <w:tcW w:w="987"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安慰</w:t>
            </w:r>
          </w:p>
        </w:tc>
        <w:tc>
          <w:tcPr>
            <w:tcW w:w="1313"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助人</w:t>
            </w:r>
          </w:p>
        </w:tc>
        <w:tc>
          <w:tcPr>
            <w:tcW w:w="1350"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合作</w:t>
            </w:r>
          </w:p>
        </w:tc>
        <w:tc>
          <w:tcPr>
            <w:tcW w:w="1337"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分享</w:t>
            </w:r>
          </w:p>
        </w:tc>
        <w:tc>
          <w:tcPr>
            <w:tcW w:w="1338"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公德</w:t>
            </w:r>
          </w:p>
        </w:tc>
        <w:tc>
          <w:tcPr>
            <w:tcW w:w="936"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小班（17）</w:t>
            </w:r>
          </w:p>
        </w:tc>
        <w:tc>
          <w:tcPr>
            <w:tcW w:w="98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313"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1（5.9%）</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3（17.6%）</w:t>
            </w:r>
          </w:p>
        </w:tc>
        <w:tc>
          <w:tcPr>
            <w:tcW w:w="13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2（11.8%）</w:t>
            </w:r>
          </w:p>
        </w:tc>
        <w:tc>
          <w:tcPr>
            <w:tcW w:w="133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2（11.8%）</w:t>
            </w:r>
          </w:p>
        </w:tc>
        <w:tc>
          <w:tcPr>
            <w:tcW w:w="936"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中班（19）</w:t>
            </w:r>
          </w:p>
        </w:tc>
        <w:tc>
          <w:tcPr>
            <w:tcW w:w="98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313"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1（5.3%）</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15（78.9%）</w:t>
            </w:r>
          </w:p>
        </w:tc>
        <w:tc>
          <w:tcPr>
            <w:tcW w:w="13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1（5.3%）</w:t>
            </w:r>
          </w:p>
        </w:tc>
        <w:tc>
          <w:tcPr>
            <w:tcW w:w="133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2（10.5%）</w:t>
            </w:r>
          </w:p>
        </w:tc>
        <w:tc>
          <w:tcPr>
            <w:tcW w:w="93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大班（20）</w:t>
            </w:r>
          </w:p>
        </w:tc>
        <w:tc>
          <w:tcPr>
            <w:tcW w:w="98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313"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17（85%）</w:t>
            </w:r>
          </w:p>
        </w:tc>
        <w:tc>
          <w:tcPr>
            <w:tcW w:w="13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33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2（10%）</w:t>
            </w:r>
          </w:p>
        </w:tc>
        <w:tc>
          <w:tcPr>
            <w:tcW w:w="93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drawing>
          <wp:inline distT="0" distB="0" distL="114300" distR="114300">
            <wp:extent cx="4572000" cy="2746375"/>
            <wp:effectExtent l="4445" t="4445" r="8255" b="508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数据分析：有图表可知，现有生态运动案例文本中，多数生态运动游戏的目标都聚焦于亲社会行为中的合作行为，整体出现的频次较高；安慰行为在生态运动游戏的目标中没有出现，可能是因为安慰行为在教育教学目标中很难体现。就年龄段而言，中大班生态运动游戏目标中亲社会行为出现的频次明显高于小班，尤其是在合作行为方面，随着年龄增长，合作行为出现的频次不断增加。但从图表中发现，在分享行为方面，小班出现的频次高于中班，大班没有涉及。</w:t>
      </w:r>
    </w:p>
    <w:p>
      <w:pPr>
        <w:spacing w:line="360" w:lineRule="auto"/>
        <w:ind w:firstLine="480" w:firstLineChars="200"/>
        <w:rPr>
          <w:rFonts w:hint="eastAsia" w:ascii="宋体" w:hAnsi="宋体" w:eastAsia="宋体" w:cs="宋体"/>
          <w:sz w:val="24"/>
          <w:szCs w:val="24"/>
          <w:lang w:val="en-US" w:eastAsia="zh-CN"/>
        </w:rPr>
      </w:pPr>
    </w:p>
    <w:p>
      <w:pPr>
        <w:spacing w:line="360" w:lineRule="auto"/>
        <w:ind w:firstLine="480" w:firstLineChars="200"/>
        <w:rPr>
          <w:rFonts w:hint="eastAsia" w:ascii="宋体" w:hAnsi="宋体" w:eastAsia="宋体" w:cs="宋体"/>
          <w:sz w:val="21"/>
          <w:szCs w:val="21"/>
          <w:lang w:val="en-US" w:eastAsia="zh-CN"/>
        </w:rPr>
      </w:pPr>
      <w:r>
        <w:rPr>
          <w:rFonts w:hint="eastAsia" w:ascii="宋体" w:hAnsi="宋体" w:eastAsia="宋体" w:cs="宋体"/>
          <w:sz w:val="24"/>
          <w:szCs w:val="24"/>
          <w:lang w:val="en-US" w:eastAsia="zh-CN"/>
        </w:rPr>
        <w:t>存在问题：对照《指南》健康领域和社会领域目标后可知，在现有的生态运动案例文本中，对于小班来说，出现合作的目标行为是不合适的，而公德行为中的遵守规则是更为切合小班年龄段特点的重要教育目标，可以适当增加出现的频次；中大班要关注幼儿的分享行为，适当增加分享行为的目标描述和游戏设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表2.不同年龄段幼儿健康活动亲社会行为出现种类及频次</w:t>
      </w:r>
    </w:p>
    <w:tbl>
      <w:tblPr>
        <w:tblStyle w:val="3"/>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44"/>
        <w:gridCol w:w="1463"/>
        <w:gridCol w:w="1450"/>
        <w:gridCol w:w="1312"/>
        <w:gridCol w:w="1313"/>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keepNext w:val="0"/>
              <w:keepLines w:val="0"/>
              <w:pageBreakBefore w:val="0"/>
              <w:kinsoku/>
              <w:wordWrap/>
              <w:overflowPunct/>
              <w:topLinePunct w:val="0"/>
              <w:autoSpaceDE/>
              <w:autoSpaceDN/>
              <w:bidi w:val="0"/>
              <w:adjustRightInd/>
              <w:snapToGrid/>
              <w:spacing w:line="360" w:lineRule="auto"/>
              <w:rPr>
                <w:rFonts w:hint="eastAsia" w:eastAsiaTheme="minorEastAsia"/>
                <w:sz w:val="24"/>
                <w:szCs w:val="24"/>
                <w:vertAlign w:val="baseline"/>
                <w:lang w:val="en-US" w:eastAsia="zh-CN"/>
              </w:rPr>
            </w:pPr>
          </w:p>
        </w:tc>
        <w:tc>
          <w:tcPr>
            <w:tcW w:w="1244"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安慰行为</w:t>
            </w:r>
          </w:p>
        </w:tc>
        <w:tc>
          <w:tcPr>
            <w:tcW w:w="1463"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助人行为</w:t>
            </w:r>
          </w:p>
        </w:tc>
        <w:tc>
          <w:tcPr>
            <w:tcW w:w="1450"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合作行为</w:t>
            </w:r>
          </w:p>
        </w:tc>
        <w:tc>
          <w:tcPr>
            <w:tcW w:w="1312" w:type="dxa"/>
          </w:tcPr>
          <w:p>
            <w:pPr>
              <w:keepNext w:val="0"/>
              <w:keepLines w:val="0"/>
              <w:pageBreakBefore w:val="0"/>
              <w:kinsoku/>
              <w:wordWrap/>
              <w:overflowPunct/>
              <w:topLinePunct w:val="0"/>
              <w:autoSpaceDE/>
              <w:autoSpaceDN/>
              <w:bidi w:val="0"/>
              <w:adjustRightInd/>
              <w:snapToGrid/>
              <w:spacing w:line="360" w:lineRule="auto"/>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分享行为</w:t>
            </w:r>
          </w:p>
        </w:tc>
        <w:tc>
          <w:tcPr>
            <w:tcW w:w="1313"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公德行为</w:t>
            </w:r>
          </w:p>
        </w:tc>
        <w:tc>
          <w:tcPr>
            <w:tcW w:w="1050" w:type="dxa"/>
          </w:tcPr>
          <w:p>
            <w:pPr>
              <w:keepNext w:val="0"/>
              <w:keepLines w:val="0"/>
              <w:pageBreakBefore w:val="0"/>
              <w:kinsoku/>
              <w:wordWrap/>
              <w:overflowPunct/>
              <w:topLinePunct w:val="0"/>
              <w:autoSpaceDE/>
              <w:autoSpaceDN/>
              <w:bidi w:val="0"/>
              <w:adjustRightInd/>
              <w:snapToGrid/>
              <w:spacing w:line="360" w:lineRule="auto"/>
              <w:jc w:val="center"/>
              <w:rPr>
                <w:rFonts w:hint="default"/>
                <w:b/>
                <w:bCs/>
                <w:sz w:val="24"/>
                <w:szCs w:val="24"/>
                <w:vertAlign w:val="baseline"/>
                <w:lang w:val="en-US" w:eastAsia="zh-CN"/>
              </w:rPr>
            </w:pPr>
            <w:r>
              <w:rPr>
                <w:rFonts w:hint="eastAsia"/>
                <w:b/>
                <w:bCs/>
                <w:sz w:val="24"/>
                <w:szCs w:val="24"/>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小班（30）</w:t>
            </w:r>
          </w:p>
        </w:tc>
        <w:tc>
          <w:tcPr>
            <w:tcW w:w="1244"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0（0%）</w:t>
            </w:r>
          </w:p>
        </w:tc>
        <w:tc>
          <w:tcPr>
            <w:tcW w:w="1463"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2（6.7%）</w:t>
            </w:r>
          </w:p>
        </w:tc>
        <w:tc>
          <w:tcPr>
            <w:tcW w:w="1450"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5（16.7%）</w:t>
            </w:r>
          </w:p>
        </w:tc>
        <w:tc>
          <w:tcPr>
            <w:tcW w:w="1312"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2（6.7%）</w:t>
            </w:r>
          </w:p>
        </w:tc>
        <w:tc>
          <w:tcPr>
            <w:tcW w:w="1313"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15（50%）</w:t>
            </w:r>
          </w:p>
        </w:tc>
        <w:tc>
          <w:tcPr>
            <w:tcW w:w="1050" w:type="dxa"/>
          </w:tcPr>
          <w:p>
            <w:pPr>
              <w:keepNext w:val="0"/>
              <w:keepLines w:val="0"/>
              <w:pageBreakBefore w:val="0"/>
              <w:kinsoku/>
              <w:wordWrap/>
              <w:overflowPunct/>
              <w:topLinePunct w:val="0"/>
              <w:autoSpaceDE/>
              <w:autoSpaceDN/>
              <w:bidi w:val="0"/>
              <w:adjustRightInd/>
              <w:snapToGrid/>
              <w:spacing w:line="360" w:lineRule="auto"/>
              <w:jc w:val="center"/>
              <w:rPr>
                <w:rFonts w:hint="default"/>
                <w:sz w:val="24"/>
                <w:szCs w:val="24"/>
                <w:vertAlign w:val="baseline"/>
                <w:lang w:val="en-US" w:eastAsia="zh-CN"/>
              </w:rPr>
            </w:pPr>
            <w:r>
              <w:rPr>
                <w:rFonts w:hint="eastAsia"/>
                <w:sz w:val="24"/>
                <w:szCs w:val="24"/>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中班（30）</w:t>
            </w:r>
          </w:p>
        </w:tc>
        <w:tc>
          <w:tcPr>
            <w:tcW w:w="1244"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0（0%）</w:t>
            </w:r>
          </w:p>
        </w:tc>
        <w:tc>
          <w:tcPr>
            <w:tcW w:w="1463"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2（6.7%）</w:t>
            </w:r>
          </w:p>
        </w:tc>
        <w:tc>
          <w:tcPr>
            <w:tcW w:w="1450" w:type="dxa"/>
          </w:tcPr>
          <w:p>
            <w:pPr>
              <w:keepNext w:val="0"/>
              <w:keepLines w:val="0"/>
              <w:pageBreakBefore w:val="0"/>
              <w:kinsoku/>
              <w:wordWrap/>
              <w:overflowPunct/>
              <w:topLinePunct w:val="0"/>
              <w:autoSpaceDE/>
              <w:autoSpaceDN/>
              <w:bidi w:val="0"/>
              <w:adjustRightInd/>
              <w:snapToGrid/>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10（33.3%）</w:t>
            </w:r>
          </w:p>
        </w:tc>
        <w:tc>
          <w:tcPr>
            <w:tcW w:w="1312"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6（20%）</w:t>
            </w:r>
          </w:p>
        </w:tc>
        <w:tc>
          <w:tcPr>
            <w:tcW w:w="1313"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10（33.3%）</w:t>
            </w:r>
          </w:p>
        </w:tc>
        <w:tc>
          <w:tcPr>
            <w:tcW w:w="1050" w:type="dxa"/>
          </w:tcPr>
          <w:p>
            <w:pPr>
              <w:keepNext w:val="0"/>
              <w:keepLines w:val="0"/>
              <w:pageBreakBefore w:val="0"/>
              <w:kinsoku/>
              <w:wordWrap/>
              <w:overflowPunct/>
              <w:topLinePunct w:val="0"/>
              <w:autoSpaceDE/>
              <w:autoSpaceDN/>
              <w:bidi w:val="0"/>
              <w:adjustRightInd/>
              <w:snapToGrid/>
              <w:spacing w:line="360" w:lineRule="auto"/>
              <w:jc w:val="center"/>
              <w:rPr>
                <w:rFonts w:hint="default"/>
                <w:sz w:val="24"/>
                <w:szCs w:val="24"/>
                <w:vertAlign w:val="baseline"/>
                <w:lang w:val="en-US" w:eastAsia="zh-CN"/>
              </w:rPr>
            </w:pPr>
            <w:r>
              <w:rPr>
                <w:rFonts w:hint="eastAsia"/>
                <w:sz w:val="24"/>
                <w:szCs w:val="24"/>
                <w:vertAlign w:val="baseline"/>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大班（38）</w:t>
            </w:r>
          </w:p>
        </w:tc>
        <w:tc>
          <w:tcPr>
            <w:tcW w:w="1244"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0（0%）</w:t>
            </w:r>
          </w:p>
        </w:tc>
        <w:tc>
          <w:tcPr>
            <w:tcW w:w="1463"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0（0%）</w:t>
            </w:r>
          </w:p>
        </w:tc>
        <w:tc>
          <w:tcPr>
            <w:tcW w:w="1450" w:type="dxa"/>
          </w:tcPr>
          <w:p>
            <w:pPr>
              <w:keepNext w:val="0"/>
              <w:keepLines w:val="0"/>
              <w:pageBreakBefore w:val="0"/>
              <w:kinsoku/>
              <w:wordWrap/>
              <w:overflowPunct/>
              <w:topLinePunct w:val="0"/>
              <w:autoSpaceDE/>
              <w:autoSpaceDN/>
              <w:bidi w:val="0"/>
              <w:adjustRightInd/>
              <w:snapToGrid/>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15（39.5%）</w:t>
            </w:r>
          </w:p>
        </w:tc>
        <w:tc>
          <w:tcPr>
            <w:tcW w:w="1312"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6（15.8%）</w:t>
            </w:r>
          </w:p>
        </w:tc>
        <w:tc>
          <w:tcPr>
            <w:tcW w:w="1313"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8（21.1%）</w:t>
            </w:r>
          </w:p>
        </w:tc>
        <w:tc>
          <w:tcPr>
            <w:tcW w:w="1050" w:type="dxa"/>
          </w:tcPr>
          <w:p>
            <w:pPr>
              <w:keepNext w:val="0"/>
              <w:keepLines w:val="0"/>
              <w:pageBreakBefore w:val="0"/>
              <w:kinsoku/>
              <w:wordWrap/>
              <w:overflowPunct/>
              <w:topLinePunct w:val="0"/>
              <w:autoSpaceDE/>
              <w:autoSpaceDN/>
              <w:bidi w:val="0"/>
              <w:adjustRightInd/>
              <w:snapToGrid/>
              <w:spacing w:line="360" w:lineRule="auto"/>
              <w:jc w:val="center"/>
              <w:rPr>
                <w:rFonts w:hint="default"/>
                <w:sz w:val="24"/>
                <w:szCs w:val="24"/>
                <w:vertAlign w:val="baseline"/>
                <w:lang w:val="en-US" w:eastAsia="zh-CN"/>
              </w:rPr>
            </w:pPr>
            <w:r>
              <w:rPr>
                <w:rFonts w:hint="eastAsia"/>
                <w:sz w:val="24"/>
                <w:szCs w:val="24"/>
                <w:vertAlign w:val="baseline"/>
                <w:lang w:val="en-US" w:eastAsia="zh-CN"/>
              </w:rPr>
              <w:t>29</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drawing>
          <wp:inline distT="0" distB="0" distL="114300" distR="114300">
            <wp:extent cx="4572000" cy="2752725"/>
            <wp:effectExtent l="4445" t="4445" r="8255" b="1143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数据分析：现有健康活动案例文本中，小中大班幼儿亲社会行为出现种类相同，除安慰行为外，其余4种亲社会行为都有涉及；合作行为频次随年龄增长呈上升态势，公德行为随年龄增长呈下降态势；小中班出现了助人行为，大班未出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1"/>
          <w:szCs w:val="21"/>
          <w:lang w:val="en-US" w:eastAsia="zh-CN"/>
        </w:rPr>
      </w:pPr>
      <w:r>
        <w:rPr>
          <w:rFonts w:hint="eastAsia" w:ascii="宋体" w:hAnsi="宋体" w:eastAsia="宋体" w:cs="宋体"/>
          <w:sz w:val="24"/>
          <w:szCs w:val="24"/>
          <w:lang w:val="en-US" w:eastAsia="zh-CN"/>
        </w:rPr>
        <w:t>存在问题：对照《指南》后可知，在现有的健康活动案例文本中，亲社会行为频次呈上升态势相对是比较科学的；公德行为中遵守规则行为出现的频次最高，对于“小班在成人提醒下遵守规则，中班理解基本规则，大班能自己制定规则”来说，遵守规则在目标中出现的频次呈下降态势也是符合幼儿年龄发展规律的；对于小班年龄段出现合作行为的描述，是不符合小班社会性发展特点的；大班的助人行为在文本表述中可以增加，助人行为的频次与幼儿年龄的增长应该也是成正比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不同活动亲社会行为出现种类及频次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表3.小班生态运动游戏和健康活动中亲社会行为要素提炼</w:t>
      </w:r>
    </w:p>
    <w:tbl>
      <w:tblPr>
        <w:tblStyle w:val="3"/>
        <w:tblW w:w="891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188"/>
        <w:gridCol w:w="1237"/>
        <w:gridCol w:w="1250"/>
        <w:gridCol w:w="1288"/>
        <w:gridCol w:w="1300"/>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jc w:val="center"/>
              <w:rPr>
                <w:rFonts w:hint="eastAsia" w:ascii="宋体" w:hAnsi="宋体" w:eastAsia="宋体" w:cs="宋体"/>
                <w:b w:val="0"/>
                <w:bCs w:val="0"/>
                <w:sz w:val="21"/>
                <w:szCs w:val="21"/>
                <w:vertAlign w:val="baseline"/>
                <w:lang w:val="en-US" w:eastAsia="zh-CN"/>
              </w:rPr>
            </w:pPr>
          </w:p>
        </w:tc>
        <w:tc>
          <w:tcPr>
            <w:tcW w:w="118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安慰行为</w:t>
            </w:r>
          </w:p>
        </w:tc>
        <w:tc>
          <w:tcPr>
            <w:tcW w:w="1237"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助人行为</w:t>
            </w:r>
          </w:p>
        </w:tc>
        <w:tc>
          <w:tcPr>
            <w:tcW w:w="125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合作行为</w:t>
            </w:r>
          </w:p>
        </w:tc>
        <w:tc>
          <w:tcPr>
            <w:tcW w:w="128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分享行为</w:t>
            </w:r>
          </w:p>
        </w:tc>
        <w:tc>
          <w:tcPr>
            <w:tcW w:w="130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公德行为</w:t>
            </w:r>
          </w:p>
        </w:tc>
        <w:tc>
          <w:tcPr>
            <w:tcW w:w="925" w:type="dxa"/>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4"/>
                <w:szCs w:val="24"/>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生态运动游戏</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2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1（5.9%）</w:t>
            </w:r>
          </w:p>
        </w:tc>
        <w:tc>
          <w:tcPr>
            <w:tcW w:w="12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3（17.6%）</w:t>
            </w:r>
          </w:p>
        </w:tc>
        <w:tc>
          <w:tcPr>
            <w:tcW w:w="12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2（11.8%）</w:t>
            </w:r>
          </w:p>
        </w:tc>
        <w:tc>
          <w:tcPr>
            <w:tcW w:w="130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2（11.8%）</w:t>
            </w:r>
          </w:p>
        </w:tc>
        <w:tc>
          <w:tcPr>
            <w:tcW w:w="92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健康活动</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2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2（6.7%）</w:t>
            </w:r>
          </w:p>
        </w:tc>
        <w:tc>
          <w:tcPr>
            <w:tcW w:w="12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5（16.7%）</w:t>
            </w:r>
          </w:p>
        </w:tc>
        <w:tc>
          <w:tcPr>
            <w:tcW w:w="12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2（6.7%）</w:t>
            </w:r>
          </w:p>
        </w:tc>
        <w:tc>
          <w:tcPr>
            <w:tcW w:w="130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15（50%）</w:t>
            </w:r>
          </w:p>
        </w:tc>
        <w:tc>
          <w:tcPr>
            <w:tcW w:w="92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4"/>
          <w:szCs w:val="24"/>
          <w:lang w:val="en-US" w:eastAsia="zh-CN"/>
        </w:rPr>
      </w:pPr>
      <w:r>
        <w:drawing>
          <wp:inline distT="0" distB="0" distL="114300" distR="114300">
            <wp:extent cx="4572000" cy="2749550"/>
            <wp:effectExtent l="4445" t="4445" r="825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1"/>
          <w:szCs w:val="21"/>
          <w:lang w:val="en-US" w:eastAsia="zh-CN"/>
        </w:rPr>
      </w:pPr>
      <w:r>
        <w:rPr>
          <w:rFonts w:hint="eastAsia" w:ascii="宋体" w:hAnsi="宋体" w:eastAsia="宋体" w:cs="宋体"/>
          <w:sz w:val="24"/>
          <w:szCs w:val="24"/>
          <w:lang w:val="en-US" w:eastAsia="zh-CN"/>
        </w:rPr>
        <w:t>数据分析：小班生态运动游戏与健康活动中均出现了4种亲社会行为，安慰行为没有涉及。其中，生态运动游戏中出现的亲社会行为总频次明显低于健康活动；健康活动中出现公德行为最多，其中出现最多的是遵守规则行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宋体" w:hAnsi="宋体" w:eastAsia="宋体" w:cs="宋体"/>
          <w:sz w:val="24"/>
          <w:szCs w:val="24"/>
          <w:lang w:val="en-US" w:eastAsia="zh-CN"/>
        </w:rPr>
      </w:pPr>
      <w:r>
        <w:rPr>
          <w:rFonts w:hint="eastAsia" w:ascii="楷体" w:hAnsi="楷体" w:eastAsia="楷体" w:cs="楷体"/>
          <w:sz w:val="24"/>
          <w:szCs w:val="24"/>
          <w:lang w:val="en-US" w:eastAsia="zh-CN"/>
        </w:rPr>
        <w:t>表4.小班生态运动游戏和健康活动中亲社会行为要素提炼</w:t>
      </w:r>
    </w:p>
    <w:tbl>
      <w:tblPr>
        <w:tblStyle w:val="3"/>
        <w:tblW w:w="891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188"/>
        <w:gridCol w:w="1237"/>
        <w:gridCol w:w="1350"/>
        <w:gridCol w:w="1188"/>
        <w:gridCol w:w="1300"/>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jc w:val="center"/>
              <w:rPr>
                <w:rFonts w:hint="eastAsia" w:ascii="宋体" w:hAnsi="宋体" w:eastAsia="宋体" w:cs="宋体"/>
                <w:b w:val="0"/>
                <w:bCs w:val="0"/>
                <w:sz w:val="21"/>
                <w:szCs w:val="21"/>
                <w:vertAlign w:val="baseline"/>
                <w:lang w:val="en-US" w:eastAsia="zh-CN"/>
              </w:rPr>
            </w:pPr>
          </w:p>
        </w:tc>
        <w:tc>
          <w:tcPr>
            <w:tcW w:w="118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安慰行为</w:t>
            </w:r>
          </w:p>
        </w:tc>
        <w:tc>
          <w:tcPr>
            <w:tcW w:w="1237"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助人行为</w:t>
            </w:r>
          </w:p>
        </w:tc>
        <w:tc>
          <w:tcPr>
            <w:tcW w:w="135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合作行为</w:t>
            </w:r>
          </w:p>
        </w:tc>
        <w:tc>
          <w:tcPr>
            <w:tcW w:w="118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分享行为</w:t>
            </w:r>
          </w:p>
        </w:tc>
        <w:tc>
          <w:tcPr>
            <w:tcW w:w="130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公德行为</w:t>
            </w:r>
          </w:p>
        </w:tc>
        <w:tc>
          <w:tcPr>
            <w:tcW w:w="925" w:type="dxa"/>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4"/>
                <w:szCs w:val="24"/>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生态运动游戏</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2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1（5.3%）</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15（78.9%）</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1（5.3%）</w:t>
            </w:r>
          </w:p>
        </w:tc>
        <w:tc>
          <w:tcPr>
            <w:tcW w:w="130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2（10.5%）</w:t>
            </w:r>
          </w:p>
        </w:tc>
        <w:tc>
          <w:tcPr>
            <w:tcW w:w="92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健康活动</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2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2（6.7%）</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10（33.3%）</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6（20%）</w:t>
            </w:r>
          </w:p>
        </w:tc>
        <w:tc>
          <w:tcPr>
            <w:tcW w:w="130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10（33.3%）</w:t>
            </w:r>
          </w:p>
        </w:tc>
        <w:tc>
          <w:tcPr>
            <w:tcW w:w="92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28</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pPr>
      <w:r>
        <w:drawing>
          <wp:inline distT="0" distB="0" distL="114300" distR="114300">
            <wp:extent cx="4572000" cy="2755900"/>
            <wp:effectExtent l="5080" t="4445" r="7620" b="825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1"/>
          <w:szCs w:val="21"/>
          <w:lang w:val="en-US" w:eastAsia="zh-CN"/>
        </w:rPr>
      </w:pPr>
      <w:r>
        <w:rPr>
          <w:rFonts w:hint="eastAsia" w:ascii="宋体" w:hAnsi="宋体" w:eastAsia="宋体" w:cs="宋体"/>
          <w:sz w:val="24"/>
          <w:szCs w:val="24"/>
          <w:lang w:val="en-US" w:eastAsia="zh-CN"/>
        </w:rPr>
        <w:t>数据分析：中班生态运动游戏和健康活动中均出现了4种亲社会行为，健康活动中出现的亲社会行为总量多于生态运动游戏。除合作行为以外，其余行为都是在健康活动中出现的较多。健康活动中遵守规则与公德行为出现频次相同，均为10次；生态运动游戏中合作行为出现的频次最高，达到15次之多。</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宋体" w:hAnsi="宋体" w:eastAsia="宋体" w:cs="宋体"/>
          <w:sz w:val="24"/>
          <w:szCs w:val="24"/>
          <w:lang w:val="en-US" w:eastAsia="zh-CN"/>
        </w:rPr>
      </w:pPr>
      <w:r>
        <w:rPr>
          <w:rFonts w:hint="eastAsia" w:ascii="楷体" w:hAnsi="楷体" w:eastAsia="楷体" w:cs="楷体"/>
          <w:sz w:val="24"/>
          <w:szCs w:val="24"/>
          <w:lang w:val="en-US" w:eastAsia="zh-CN"/>
        </w:rPr>
        <w:t>表5.小班生态运动游戏和健康活动中亲社会行为要素提炼</w:t>
      </w:r>
    </w:p>
    <w:tbl>
      <w:tblPr>
        <w:tblStyle w:val="3"/>
        <w:tblW w:w="891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188"/>
        <w:gridCol w:w="1237"/>
        <w:gridCol w:w="1350"/>
        <w:gridCol w:w="1188"/>
        <w:gridCol w:w="1300"/>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jc w:val="center"/>
              <w:rPr>
                <w:rFonts w:hint="eastAsia" w:ascii="宋体" w:hAnsi="宋体" w:eastAsia="宋体" w:cs="宋体"/>
                <w:b w:val="0"/>
                <w:bCs w:val="0"/>
                <w:sz w:val="21"/>
                <w:szCs w:val="21"/>
                <w:vertAlign w:val="baseline"/>
                <w:lang w:val="en-US" w:eastAsia="zh-CN"/>
              </w:rPr>
            </w:pPr>
          </w:p>
        </w:tc>
        <w:tc>
          <w:tcPr>
            <w:tcW w:w="118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安慰行为</w:t>
            </w:r>
          </w:p>
        </w:tc>
        <w:tc>
          <w:tcPr>
            <w:tcW w:w="1237"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助人行为</w:t>
            </w:r>
          </w:p>
        </w:tc>
        <w:tc>
          <w:tcPr>
            <w:tcW w:w="135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合作行为</w:t>
            </w:r>
          </w:p>
        </w:tc>
        <w:tc>
          <w:tcPr>
            <w:tcW w:w="118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分享行为</w:t>
            </w:r>
          </w:p>
        </w:tc>
        <w:tc>
          <w:tcPr>
            <w:tcW w:w="130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公德行为</w:t>
            </w:r>
          </w:p>
        </w:tc>
        <w:tc>
          <w:tcPr>
            <w:tcW w:w="925" w:type="dxa"/>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4"/>
                <w:szCs w:val="24"/>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生态运动游戏</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2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17（85%）</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30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2（10%）</w:t>
            </w:r>
          </w:p>
        </w:tc>
        <w:tc>
          <w:tcPr>
            <w:tcW w:w="92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健康活动</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2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15（39.5%）</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6（15.8%）</w:t>
            </w:r>
          </w:p>
        </w:tc>
        <w:tc>
          <w:tcPr>
            <w:tcW w:w="130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8（21.1%）</w:t>
            </w:r>
          </w:p>
        </w:tc>
        <w:tc>
          <w:tcPr>
            <w:tcW w:w="92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29</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drawing>
          <wp:inline distT="0" distB="0" distL="114300" distR="114300">
            <wp:extent cx="4572000" cy="2755900"/>
            <wp:effectExtent l="5080" t="4445" r="7620" b="825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分析：大班健康活动中出现合作、分享和公德行为，大班生态运动游戏中出现了助人、合作和公德行为，生态运动游戏和健康活动中均未出现安慰行为。健康运动中未出现助人行为，生态运动游戏中未出现分享行为。合作行为在生态运动游戏和健康活动中出现的频次都是最高的。健康活动中公德行为的频次明显高于生态运动游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表6.生态运动游戏和健康活动中亲社会行为要素对比</w:t>
      </w:r>
      <w:bookmarkStart w:id="0" w:name="_GoBack"/>
      <w:bookmarkEnd w:id="0"/>
    </w:p>
    <w:tbl>
      <w:tblPr>
        <w:tblStyle w:val="3"/>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188"/>
        <w:gridCol w:w="1237"/>
        <w:gridCol w:w="1350"/>
        <w:gridCol w:w="1188"/>
        <w:gridCol w:w="1300"/>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5" w:type="dxa"/>
            <w:vAlign w:val="center"/>
          </w:tcPr>
          <w:p>
            <w:pPr>
              <w:jc w:val="center"/>
              <w:rPr>
                <w:rFonts w:hint="eastAsia" w:ascii="宋体" w:hAnsi="宋体" w:eastAsia="宋体" w:cs="宋体"/>
                <w:b w:val="0"/>
                <w:bCs w:val="0"/>
                <w:sz w:val="21"/>
                <w:szCs w:val="21"/>
                <w:vertAlign w:val="baseline"/>
                <w:lang w:val="en-US" w:eastAsia="zh-CN"/>
              </w:rPr>
            </w:pPr>
          </w:p>
        </w:tc>
        <w:tc>
          <w:tcPr>
            <w:tcW w:w="118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安慰行为</w:t>
            </w:r>
          </w:p>
        </w:tc>
        <w:tc>
          <w:tcPr>
            <w:tcW w:w="1237"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助人行为</w:t>
            </w:r>
          </w:p>
        </w:tc>
        <w:tc>
          <w:tcPr>
            <w:tcW w:w="135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合作行为</w:t>
            </w:r>
          </w:p>
        </w:tc>
        <w:tc>
          <w:tcPr>
            <w:tcW w:w="118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分享行为</w:t>
            </w:r>
          </w:p>
        </w:tc>
        <w:tc>
          <w:tcPr>
            <w:tcW w:w="130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公德行为</w:t>
            </w:r>
          </w:p>
        </w:tc>
        <w:tc>
          <w:tcPr>
            <w:tcW w:w="925" w:type="dxa"/>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4"/>
                <w:szCs w:val="24"/>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生态运动游戏</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2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35</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130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92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健康活动</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2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30</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w:t>
            </w:r>
          </w:p>
        </w:tc>
        <w:tc>
          <w:tcPr>
            <w:tcW w:w="130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33</w:t>
            </w:r>
          </w:p>
        </w:tc>
        <w:tc>
          <w:tcPr>
            <w:tcW w:w="92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上所述：中低结构的游戏（生态运动游戏）和中高结构的游戏（健康活动）相比，中高结构的游戏目标更注重对幼儿社会性发展的培养；中高结构的游戏中目标更关注公德行为，其中更加注重幼儿对规则的遵守，无论哪个年龄段，都是健康活动中遵守规则行为比生态运动游戏中更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在活动中，教师更关注对幼儿合作能力的培养（除了小班健康，其他都是合作行为所占比例最大）；与中低结构的游戏相比，中高结构的健康活动还关注到了幼儿之间的分享行为。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当然，中低结构的生态运动游戏在活动过程中给予幼儿更多自由空间，因此在目标预设上相对较为宽泛，幼儿在游戏情境中会生发各种社会性交往问题，如果教师能够加以关注并适时指导，也能促进幼儿社会性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所以，两者在对于社会性的关注上还是有所差异的，教师可以结合本班幼儿的实际情况，调节游戏的比例，以促进幼儿亲社会行为的均衡发展。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3ECDA0"/>
    <w:multiLevelType w:val="singleLevel"/>
    <w:tmpl w:val="E63ECDA0"/>
    <w:lvl w:ilvl="0" w:tentative="0">
      <w:start w:val="1"/>
      <w:numFmt w:val="chineseCounting"/>
      <w:suff w:val="nothing"/>
      <w:lvlText w:val="%1、"/>
      <w:lvlJc w:val="left"/>
      <w:rPr>
        <w:rFonts w:hint="eastAsia"/>
      </w:rPr>
    </w:lvl>
  </w:abstractNum>
  <w:abstractNum w:abstractNumId="1">
    <w:nsid w:val="2E05319E"/>
    <w:multiLevelType w:val="singleLevel"/>
    <w:tmpl w:val="2E05319E"/>
    <w:lvl w:ilvl="0" w:tentative="0">
      <w:start w:val="3"/>
      <w:numFmt w:val="chineseCounting"/>
      <w:suff w:val="nothing"/>
      <w:lvlText w:val="（%1）"/>
      <w:lvlJc w:val="left"/>
      <w:pPr>
        <w:ind w:left="420"/>
      </w:pPr>
      <w:rPr>
        <w:rFonts w:hint="eastAsia"/>
      </w:rPr>
    </w:lvl>
  </w:abstractNum>
  <w:abstractNum w:abstractNumId="2">
    <w:nsid w:val="488C4318"/>
    <w:multiLevelType w:val="singleLevel"/>
    <w:tmpl w:val="488C4318"/>
    <w:lvl w:ilvl="0" w:tentative="0">
      <w:start w:val="1"/>
      <w:numFmt w:val="chineseCounting"/>
      <w:suff w:val="nothing"/>
      <w:lvlText w:val="（%1）"/>
      <w:lvlJc w:val="left"/>
      <w:pPr>
        <w:ind w:left="420" w:leftChars="0" w:firstLine="0" w:firstLineChars="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73F27"/>
    <w:rsid w:val="011438D2"/>
    <w:rsid w:val="01296A4A"/>
    <w:rsid w:val="037549D0"/>
    <w:rsid w:val="04524DC9"/>
    <w:rsid w:val="1123365B"/>
    <w:rsid w:val="14161856"/>
    <w:rsid w:val="14C92990"/>
    <w:rsid w:val="27D9007C"/>
    <w:rsid w:val="286478BF"/>
    <w:rsid w:val="28A76D6D"/>
    <w:rsid w:val="31F37C12"/>
    <w:rsid w:val="3D302FF8"/>
    <w:rsid w:val="55EF6F73"/>
    <w:rsid w:val="593A66C9"/>
    <w:rsid w:val="601A1CB5"/>
    <w:rsid w:val="66355131"/>
    <w:rsid w:val="74673F27"/>
    <w:rsid w:val="7C9041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t>不同年龄段幼儿生态运动游戏亲社会行为出现种类及频次</a:t>
            </a:r>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小班（17）</c:v>
                </c:pt>
              </c:strCache>
            </c:strRef>
          </c:tx>
          <c:spPr>
            <a:solidFill>
              <a:schemeClr val="accent1"/>
            </a:solidFill>
            <a:ln>
              <a:noFill/>
            </a:ln>
            <a:effectLst/>
          </c:spPr>
          <c:invertIfNegative val="0"/>
          <c:dLbls>
            <c:delete val="1"/>
          </c:dLbls>
          <c:cat>
            <c:strRef>
              <c:f>[工作簿1]Sheet1!$B$1:$F$1</c:f>
              <c:strCache>
                <c:ptCount val="5"/>
                <c:pt idx="0">
                  <c:v>安慰</c:v>
                </c:pt>
                <c:pt idx="1">
                  <c:v>助人</c:v>
                </c:pt>
                <c:pt idx="2">
                  <c:v>合作</c:v>
                </c:pt>
                <c:pt idx="3">
                  <c:v>分享</c:v>
                </c:pt>
                <c:pt idx="4">
                  <c:v>公德</c:v>
                </c:pt>
              </c:strCache>
            </c:strRef>
          </c:cat>
          <c:val>
            <c:numRef>
              <c:f>[工作簿1]Sheet1!$B$2:$F$2</c:f>
              <c:numCache>
                <c:formatCode>General</c:formatCode>
                <c:ptCount val="5"/>
                <c:pt idx="0">
                  <c:v>0</c:v>
                </c:pt>
                <c:pt idx="1">
                  <c:v>1</c:v>
                </c:pt>
                <c:pt idx="2">
                  <c:v>3</c:v>
                </c:pt>
                <c:pt idx="3">
                  <c:v>2</c:v>
                </c:pt>
                <c:pt idx="4">
                  <c:v>2</c:v>
                </c:pt>
              </c:numCache>
            </c:numRef>
          </c:val>
        </c:ser>
        <c:ser>
          <c:idx val="1"/>
          <c:order val="1"/>
          <c:tx>
            <c:strRef>
              <c:f>[工作簿1]Sheet1!$A$3</c:f>
              <c:strCache>
                <c:ptCount val="1"/>
                <c:pt idx="0">
                  <c:v>中班（19）</c:v>
                </c:pt>
              </c:strCache>
            </c:strRef>
          </c:tx>
          <c:spPr>
            <a:solidFill>
              <a:schemeClr val="accent2"/>
            </a:solidFill>
            <a:ln>
              <a:noFill/>
            </a:ln>
            <a:effectLst/>
          </c:spPr>
          <c:invertIfNegative val="0"/>
          <c:dLbls>
            <c:delete val="1"/>
          </c:dLbls>
          <c:cat>
            <c:strRef>
              <c:f>[工作簿1]Sheet1!$B$1:$F$1</c:f>
              <c:strCache>
                <c:ptCount val="5"/>
                <c:pt idx="0">
                  <c:v>安慰</c:v>
                </c:pt>
                <c:pt idx="1">
                  <c:v>助人</c:v>
                </c:pt>
                <c:pt idx="2">
                  <c:v>合作</c:v>
                </c:pt>
                <c:pt idx="3">
                  <c:v>分享</c:v>
                </c:pt>
                <c:pt idx="4">
                  <c:v>公德</c:v>
                </c:pt>
              </c:strCache>
            </c:strRef>
          </c:cat>
          <c:val>
            <c:numRef>
              <c:f>[工作簿1]Sheet1!$B$3:$F$3</c:f>
              <c:numCache>
                <c:formatCode>General</c:formatCode>
                <c:ptCount val="5"/>
                <c:pt idx="0">
                  <c:v>0</c:v>
                </c:pt>
                <c:pt idx="1">
                  <c:v>1</c:v>
                </c:pt>
                <c:pt idx="2">
                  <c:v>15</c:v>
                </c:pt>
                <c:pt idx="3">
                  <c:v>1</c:v>
                </c:pt>
                <c:pt idx="4">
                  <c:v>2</c:v>
                </c:pt>
              </c:numCache>
            </c:numRef>
          </c:val>
        </c:ser>
        <c:ser>
          <c:idx val="2"/>
          <c:order val="2"/>
          <c:tx>
            <c:strRef>
              <c:f>[工作簿1]Sheet1!$A$4</c:f>
              <c:strCache>
                <c:ptCount val="1"/>
                <c:pt idx="0">
                  <c:v>大班（20）</c:v>
                </c:pt>
              </c:strCache>
            </c:strRef>
          </c:tx>
          <c:spPr>
            <a:solidFill>
              <a:schemeClr val="accent3"/>
            </a:solidFill>
            <a:ln>
              <a:noFill/>
            </a:ln>
            <a:effectLst/>
          </c:spPr>
          <c:invertIfNegative val="0"/>
          <c:dLbls>
            <c:delete val="1"/>
          </c:dLbls>
          <c:cat>
            <c:strRef>
              <c:f>[工作簿1]Sheet1!$B$1:$F$1</c:f>
              <c:strCache>
                <c:ptCount val="5"/>
                <c:pt idx="0">
                  <c:v>安慰</c:v>
                </c:pt>
                <c:pt idx="1">
                  <c:v>助人</c:v>
                </c:pt>
                <c:pt idx="2">
                  <c:v>合作</c:v>
                </c:pt>
                <c:pt idx="3">
                  <c:v>分享</c:v>
                </c:pt>
                <c:pt idx="4">
                  <c:v>公德</c:v>
                </c:pt>
              </c:strCache>
            </c:strRef>
          </c:cat>
          <c:val>
            <c:numRef>
              <c:f>[工作簿1]Sheet1!$B$4:$F$4</c:f>
              <c:numCache>
                <c:formatCode>General</c:formatCode>
                <c:ptCount val="5"/>
                <c:pt idx="0">
                  <c:v>0</c:v>
                </c:pt>
                <c:pt idx="1">
                  <c:v>1</c:v>
                </c:pt>
                <c:pt idx="2">
                  <c:v>17</c:v>
                </c:pt>
                <c:pt idx="3">
                  <c:v>0</c:v>
                </c:pt>
                <c:pt idx="4">
                  <c:v>2</c:v>
                </c:pt>
              </c:numCache>
            </c:numRef>
          </c:val>
        </c:ser>
        <c:dLbls>
          <c:showLegendKey val="0"/>
          <c:showVal val="0"/>
          <c:showCatName val="0"/>
          <c:showSerName val="0"/>
          <c:showPercent val="0"/>
          <c:showBubbleSize val="0"/>
        </c:dLbls>
        <c:gapWidth val="219"/>
        <c:overlap val="-27"/>
        <c:axId val="960670489"/>
        <c:axId val="785226367"/>
      </c:barChart>
      <c:catAx>
        <c:axId val="9606704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5226367"/>
        <c:crosses val="autoZero"/>
        <c:auto val="1"/>
        <c:lblAlgn val="ctr"/>
        <c:lblOffset val="100"/>
        <c:noMultiLvlLbl val="0"/>
      </c:catAx>
      <c:valAx>
        <c:axId val="785226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067048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图2.不同年龄段幼儿健康活动亲社会行为出现种类及频次</a:t>
            </a:r>
          </a:p>
        </c:rich>
      </c:tx>
      <c:layout/>
      <c:overlay val="0"/>
      <c:spPr>
        <a:noFill/>
        <a:ln>
          <a:noFill/>
        </a:ln>
        <a:effectLst/>
      </c:spPr>
    </c:title>
    <c:autoTitleDeleted val="0"/>
    <c:plotArea>
      <c:layout/>
      <c:barChart>
        <c:barDir val="col"/>
        <c:grouping val="clustered"/>
        <c:varyColors val="0"/>
        <c:ser>
          <c:idx val="0"/>
          <c:order val="0"/>
          <c:tx>
            <c:strRef>
              <c:f>[工作簿1]Sheet1!$A$8</c:f>
              <c:strCache>
                <c:ptCount val="1"/>
                <c:pt idx="0">
                  <c:v>小班（30）</c:v>
                </c:pt>
              </c:strCache>
            </c:strRef>
          </c:tx>
          <c:spPr>
            <a:solidFill>
              <a:schemeClr val="accent1"/>
            </a:solidFill>
            <a:ln>
              <a:noFill/>
            </a:ln>
            <a:effectLst/>
          </c:spPr>
          <c:invertIfNegative val="0"/>
          <c:dLbls>
            <c:delete val="1"/>
          </c:dLbls>
          <c:cat>
            <c:strRef>
              <c:f>[工作簿1]Sheet1!$B$7:$F$7</c:f>
              <c:strCache>
                <c:ptCount val="5"/>
                <c:pt idx="0">
                  <c:v>安慰行为</c:v>
                </c:pt>
                <c:pt idx="1">
                  <c:v>助人行为</c:v>
                </c:pt>
                <c:pt idx="2">
                  <c:v>合作行为</c:v>
                </c:pt>
                <c:pt idx="3">
                  <c:v>分享行为</c:v>
                </c:pt>
                <c:pt idx="4">
                  <c:v>公德行为</c:v>
                </c:pt>
              </c:strCache>
            </c:strRef>
          </c:cat>
          <c:val>
            <c:numRef>
              <c:f>[工作簿1]Sheet1!$B$8:$F$8</c:f>
              <c:numCache>
                <c:formatCode>General</c:formatCode>
                <c:ptCount val="5"/>
                <c:pt idx="0">
                  <c:v>0</c:v>
                </c:pt>
                <c:pt idx="1">
                  <c:v>2</c:v>
                </c:pt>
                <c:pt idx="2">
                  <c:v>5</c:v>
                </c:pt>
                <c:pt idx="3">
                  <c:v>2</c:v>
                </c:pt>
                <c:pt idx="4">
                  <c:v>15</c:v>
                </c:pt>
              </c:numCache>
            </c:numRef>
          </c:val>
        </c:ser>
        <c:ser>
          <c:idx val="1"/>
          <c:order val="1"/>
          <c:tx>
            <c:strRef>
              <c:f>[工作簿1]Sheet1!$A$9</c:f>
              <c:strCache>
                <c:ptCount val="1"/>
                <c:pt idx="0">
                  <c:v>中班（30）</c:v>
                </c:pt>
              </c:strCache>
            </c:strRef>
          </c:tx>
          <c:spPr>
            <a:solidFill>
              <a:schemeClr val="accent2"/>
            </a:solidFill>
            <a:ln>
              <a:noFill/>
            </a:ln>
            <a:effectLst/>
          </c:spPr>
          <c:invertIfNegative val="0"/>
          <c:dLbls>
            <c:delete val="1"/>
          </c:dLbls>
          <c:cat>
            <c:strRef>
              <c:f>[工作簿1]Sheet1!$B$7:$F$7</c:f>
              <c:strCache>
                <c:ptCount val="5"/>
                <c:pt idx="0">
                  <c:v>安慰行为</c:v>
                </c:pt>
                <c:pt idx="1">
                  <c:v>助人行为</c:v>
                </c:pt>
                <c:pt idx="2">
                  <c:v>合作行为</c:v>
                </c:pt>
                <c:pt idx="3">
                  <c:v>分享行为</c:v>
                </c:pt>
                <c:pt idx="4">
                  <c:v>公德行为</c:v>
                </c:pt>
              </c:strCache>
            </c:strRef>
          </c:cat>
          <c:val>
            <c:numRef>
              <c:f>[工作簿1]Sheet1!$B$9:$F$9</c:f>
              <c:numCache>
                <c:formatCode>General</c:formatCode>
                <c:ptCount val="5"/>
                <c:pt idx="0">
                  <c:v>0</c:v>
                </c:pt>
                <c:pt idx="1">
                  <c:v>2</c:v>
                </c:pt>
                <c:pt idx="2">
                  <c:v>10</c:v>
                </c:pt>
                <c:pt idx="3">
                  <c:v>6</c:v>
                </c:pt>
                <c:pt idx="4">
                  <c:v>10</c:v>
                </c:pt>
              </c:numCache>
            </c:numRef>
          </c:val>
        </c:ser>
        <c:ser>
          <c:idx val="2"/>
          <c:order val="2"/>
          <c:tx>
            <c:strRef>
              <c:f>[工作簿1]Sheet1!$A$10</c:f>
              <c:strCache>
                <c:ptCount val="1"/>
                <c:pt idx="0">
                  <c:v>大班（38）</c:v>
                </c:pt>
              </c:strCache>
            </c:strRef>
          </c:tx>
          <c:spPr>
            <a:solidFill>
              <a:schemeClr val="accent3"/>
            </a:solidFill>
            <a:ln>
              <a:noFill/>
            </a:ln>
            <a:effectLst/>
          </c:spPr>
          <c:invertIfNegative val="0"/>
          <c:dLbls>
            <c:delete val="1"/>
          </c:dLbls>
          <c:cat>
            <c:strRef>
              <c:f>[工作簿1]Sheet1!$B$7:$F$7</c:f>
              <c:strCache>
                <c:ptCount val="5"/>
                <c:pt idx="0">
                  <c:v>安慰行为</c:v>
                </c:pt>
                <c:pt idx="1">
                  <c:v>助人行为</c:v>
                </c:pt>
                <c:pt idx="2">
                  <c:v>合作行为</c:v>
                </c:pt>
                <c:pt idx="3">
                  <c:v>分享行为</c:v>
                </c:pt>
                <c:pt idx="4">
                  <c:v>公德行为</c:v>
                </c:pt>
              </c:strCache>
            </c:strRef>
          </c:cat>
          <c:val>
            <c:numRef>
              <c:f>[工作簿1]Sheet1!$B$10:$F$10</c:f>
              <c:numCache>
                <c:formatCode>General</c:formatCode>
                <c:ptCount val="5"/>
                <c:pt idx="0">
                  <c:v>0</c:v>
                </c:pt>
                <c:pt idx="1">
                  <c:v>0</c:v>
                </c:pt>
                <c:pt idx="2">
                  <c:v>15</c:v>
                </c:pt>
                <c:pt idx="3">
                  <c:v>6</c:v>
                </c:pt>
                <c:pt idx="4">
                  <c:v>8</c:v>
                </c:pt>
              </c:numCache>
            </c:numRef>
          </c:val>
        </c:ser>
        <c:dLbls>
          <c:showLegendKey val="0"/>
          <c:showVal val="0"/>
          <c:showCatName val="0"/>
          <c:showSerName val="0"/>
          <c:showPercent val="0"/>
          <c:showBubbleSize val="0"/>
        </c:dLbls>
        <c:gapWidth val="219"/>
        <c:overlap val="-27"/>
        <c:axId val="730866225"/>
        <c:axId val="385120996"/>
      </c:barChart>
      <c:catAx>
        <c:axId val="7308662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5120996"/>
        <c:crosses val="autoZero"/>
        <c:auto val="1"/>
        <c:lblAlgn val="ctr"/>
        <c:lblOffset val="100"/>
        <c:noMultiLvlLbl val="0"/>
      </c:catAx>
      <c:valAx>
        <c:axId val="3851209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086622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t>小班生态运动游戏和健康活动中</a:t>
            </a:r>
          </a:p>
          <a:p>
            <a:pPr defTabSz="914400">
              <a:defRPr lang="zh-CN" sz="1400" b="0" i="0" u="none" strike="noStrike" kern="1200" spc="0" baseline="0">
                <a:solidFill>
                  <a:schemeClr val="tx1">
                    <a:lumMod val="65000"/>
                    <a:lumOff val="35000"/>
                  </a:schemeClr>
                </a:solidFill>
                <a:latin typeface="+mn-lt"/>
                <a:ea typeface="+mn-ea"/>
                <a:cs typeface="+mn-cs"/>
              </a:defRPr>
            </a:pPr>
            <a:r>
              <a:t>亲社会行为要素提炼</a:t>
            </a:r>
          </a:p>
        </c:rich>
      </c:tx>
      <c:layout/>
      <c:overlay val="0"/>
      <c:spPr>
        <a:noFill/>
        <a:ln>
          <a:noFill/>
        </a:ln>
        <a:effectLst/>
      </c:spPr>
    </c:title>
    <c:autoTitleDeleted val="0"/>
    <c:plotArea>
      <c:layout/>
      <c:barChart>
        <c:barDir val="col"/>
        <c:grouping val="clustered"/>
        <c:varyColors val="0"/>
        <c:ser>
          <c:idx val="0"/>
          <c:order val="0"/>
          <c:tx>
            <c:strRef>
              <c:f>[工作簿1]Sheet1!$A$14</c:f>
              <c:strCache>
                <c:ptCount val="1"/>
                <c:pt idx="0">
                  <c:v>生态运动游戏</c:v>
                </c:pt>
              </c:strCache>
            </c:strRef>
          </c:tx>
          <c:spPr>
            <a:solidFill>
              <a:schemeClr val="accent1"/>
            </a:solidFill>
            <a:ln>
              <a:noFill/>
            </a:ln>
            <a:effectLst/>
          </c:spPr>
          <c:invertIfNegative val="0"/>
          <c:dLbls>
            <c:delete val="1"/>
          </c:dLbls>
          <c:cat>
            <c:strRef>
              <c:f>[工作簿1]Sheet1!$B$13:$F$13</c:f>
              <c:strCache>
                <c:ptCount val="5"/>
                <c:pt idx="0">
                  <c:v>安慰行为</c:v>
                </c:pt>
                <c:pt idx="1">
                  <c:v>助人行为</c:v>
                </c:pt>
                <c:pt idx="2">
                  <c:v>合作行为</c:v>
                </c:pt>
                <c:pt idx="3">
                  <c:v>分享行为</c:v>
                </c:pt>
                <c:pt idx="4">
                  <c:v>公德行为</c:v>
                </c:pt>
              </c:strCache>
            </c:strRef>
          </c:cat>
          <c:val>
            <c:numRef>
              <c:f>[工作簿1]Sheet1!$B$14:$F$14</c:f>
              <c:numCache>
                <c:formatCode>General</c:formatCode>
                <c:ptCount val="5"/>
                <c:pt idx="0">
                  <c:v>0</c:v>
                </c:pt>
                <c:pt idx="1">
                  <c:v>1</c:v>
                </c:pt>
                <c:pt idx="2">
                  <c:v>3</c:v>
                </c:pt>
                <c:pt idx="3">
                  <c:v>2</c:v>
                </c:pt>
                <c:pt idx="4">
                  <c:v>2</c:v>
                </c:pt>
              </c:numCache>
            </c:numRef>
          </c:val>
        </c:ser>
        <c:ser>
          <c:idx val="1"/>
          <c:order val="1"/>
          <c:tx>
            <c:strRef>
              <c:f>[工作簿1]Sheet1!$A$15</c:f>
              <c:strCache>
                <c:ptCount val="1"/>
                <c:pt idx="0">
                  <c:v>健康活动</c:v>
                </c:pt>
              </c:strCache>
            </c:strRef>
          </c:tx>
          <c:spPr>
            <a:solidFill>
              <a:schemeClr val="accent2"/>
            </a:solidFill>
            <a:ln>
              <a:noFill/>
            </a:ln>
            <a:effectLst/>
          </c:spPr>
          <c:invertIfNegative val="0"/>
          <c:dLbls>
            <c:delete val="1"/>
          </c:dLbls>
          <c:cat>
            <c:strRef>
              <c:f>[工作簿1]Sheet1!$B$13:$F$13</c:f>
              <c:strCache>
                <c:ptCount val="5"/>
                <c:pt idx="0">
                  <c:v>安慰行为</c:v>
                </c:pt>
                <c:pt idx="1">
                  <c:v>助人行为</c:v>
                </c:pt>
                <c:pt idx="2">
                  <c:v>合作行为</c:v>
                </c:pt>
                <c:pt idx="3">
                  <c:v>分享行为</c:v>
                </c:pt>
                <c:pt idx="4">
                  <c:v>公德行为</c:v>
                </c:pt>
              </c:strCache>
            </c:strRef>
          </c:cat>
          <c:val>
            <c:numRef>
              <c:f>[工作簿1]Sheet1!$B$15:$F$15</c:f>
              <c:numCache>
                <c:formatCode>General</c:formatCode>
                <c:ptCount val="5"/>
                <c:pt idx="0">
                  <c:v>0</c:v>
                </c:pt>
                <c:pt idx="1">
                  <c:v>2</c:v>
                </c:pt>
                <c:pt idx="2">
                  <c:v>5</c:v>
                </c:pt>
                <c:pt idx="3">
                  <c:v>2</c:v>
                </c:pt>
                <c:pt idx="4">
                  <c:v>15</c:v>
                </c:pt>
              </c:numCache>
            </c:numRef>
          </c:val>
        </c:ser>
        <c:dLbls>
          <c:showLegendKey val="0"/>
          <c:showVal val="0"/>
          <c:showCatName val="0"/>
          <c:showSerName val="0"/>
          <c:showPercent val="0"/>
          <c:showBubbleSize val="0"/>
        </c:dLbls>
        <c:gapWidth val="219"/>
        <c:overlap val="-27"/>
        <c:axId val="300345691"/>
        <c:axId val="912226041"/>
      </c:barChart>
      <c:catAx>
        <c:axId val="30034569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2226041"/>
        <c:crosses val="autoZero"/>
        <c:auto val="1"/>
        <c:lblAlgn val="ctr"/>
        <c:lblOffset val="100"/>
        <c:noMultiLvlLbl val="0"/>
      </c:catAx>
      <c:valAx>
        <c:axId val="91222604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03456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t>中班生态运动游戏和健康活动中</a:t>
            </a:r>
          </a:p>
          <a:p>
            <a:pPr defTabSz="914400">
              <a:defRPr lang="zh-CN" sz="1400" b="0" i="0" u="none" strike="noStrike" kern="1200" spc="0" baseline="0">
                <a:solidFill>
                  <a:schemeClr val="tx1">
                    <a:lumMod val="65000"/>
                    <a:lumOff val="35000"/>
                  </a:schemeClr>
                </a:solidFill>
                <a:latin typeface="+mn-lt"/>
                <a:ea typeface="+mn-ea"/>
                <a:cs typeface="+mn-cs"/>
              </a:defRPr>
            </a:pPr>
            <a:r>
              <a:t>亲社会行为要素提炼</a:t>
            </a:r>
          </a:p>
        </c:rich>
      </c:tx>
      <c:layout>
        <c:manualLayout>
          <c:xMode val="edge"/>
          <c:yMode val="edge"/>
          <c:x val="0.243888888888889"/>
          <c:y val="0.0278801843317972"/>
        </c:manualLayout>
      </c:layout>
      <c:overlay val="0"/>
      <c:spPr>
        <a:noFill/>
        <a:ln>
          <a:noFill/>
        </a:ln>
        <a:effectLst/>
      </c:spPr>
    </c:title>
    <c:autoTitleDeleted val="0"/>
    <c:plotArea>
      <c:layout/>
      <c:barChart>
        <c:barDir val="col"/>
        <c:grouping val="clustered"/>
        <c:varyColors val="0"/>
        <c:ser>
          <c:idx val="0"/>
          <c:order val="0"/>
          <c:tx>
            <c:strRef>
              <c:f>[工作簿1]Sheet1!$A$18</c:f>
              <c:strCache>
                <c:ptCount val="1"/>
                <c:pt idx="0">
                  <c:v>生态运动游戏</c:v>
                </c:pt>
              </c:strCache>
            </c:strRef>
          </c:tx>
          <c:spPr>
            <a:solidFill>
              <a:schemeClr val="accent1"/>
            </a:solidFill>
            <a:ln>
              <a:noFill/>
            </a:ln>
            <a:effectLst/>
          </c:spPr>
          <c:invertIfNegative val="0"/>
          <c:dLbls>
            <c:delete val="1"/>
          </c:dLbls>
          <c:cat>
            <c:strRef>
              <c:f>[工作簿1]Sheet1!$B$17:$F$17</c:f>
              <c:strCache>
                <c:ptCount val="5"/>
                <c:pt idx="0">
                  <c:v>安慰行为</c:v>
                </c:pt>
                <c:pt idx="1">
                  <c:v>助人行为</c:v>
                </c:pt>
                <c:pt idx="2">
                  <c:v>合作行为</c:v>
                </c:pt>
                <c:pt idx="3">
                  <c:v>分享行为</c:v>
                </c:pt>
                <c:pt idx="4">
                  <c:v>公德行为</c:v>
                </c:pt>
              </c:strCache>
            </c:strRef>
          </c:cat>
          <c:val>
            <c:numRef>
              <c:f>[工作簿1]Sheet1!$B$18:$F$18</c:f>
              <c:numCache>
                <c:formatCode>General</c:formatCode>
                <c:ptCount val="5"/>
                <c:pt idx="0">
                  <c:v>0</c:v>
                </c:pt>
                <c:pt idx="1">
                  <c:v>1</c:v>
                </c:pt>
                <c:pt idx="2">
                  <c:v>15</c:v>
                </c:pt>
                <c:pt idx="3">
                  <c:v>1</c:v>
                </c:pt>
                <c:pt idx="4">
                  <c:v>2</c:v>
                </c:pt>
              </c:numCache>
            </c:numRef>
          </c:val>
        </c:ser>
        <c:ser>
          <c:idx val="1"/>
          <c:order val="1"/>
          <c:tx>
            <c:strRef>
              <c:f>[工作簿1]Sheet1!$A$19</c:f>
              <c:strCache>
                <c:ptCount val="1"/>
                <c:pt idx="0">
                  <c:v>健康活动</c:v>
                </c:pt>
              </c:strCache>
            </c:strRef>
          </c:tx>
          <c:spPr>
            <a:solidFill>
              <a:schemeClr val="accent2"/>
            </a:solidFill>
            <a:ln>
              <a:noFill/>
            </a:ln>
            <a:effectLst/>
          </c:spPr>
          <c:invertIfNegative val="0"/>
          <c:dLbls>
            <c:delete val="1"/>
          </c:dLbls>
          <c:cat>
            <c:strRef>
              <c:f>[工作簿1]Sheet1!$B$17:$F$17</c:f>
              <c:strCache>
                <c:ptCount val="5"/>
                <c:pt idx="0">
                  <c:v>安慰行为</c:v>
                </c:pt>
                <c:pt idx="1">
                  <c:v>助人行为</c:v>
                </c:pt>
                <c:pt idx="2">
                  <c:v>合作行为</c:v>
                </c:pt>
                <c:pt idx="3">
                  <c:v>分享行为</c:v>
                </c:pt>
                <c:pt idx="4">
                  <c:v>公德行为</c:v>
                </c:pt>
              </c:strCache>
            </c:strRef>
          </c:cat>
          <c:val>
            <c:numRef>
              <c:f>[工作簿1]Sheet1!$B$19:$F$19</c:f>
              <c:numCache>
                <c:formatCode>General</c:formatCode>
                <c:ptCount val="5"/>
                <c:pt idx="0">
                  <c:v>0</c:v>
                </c:pt>
                <c:pt idx="1">
                  <c:v>2</c:v>
                </c:pt>
                <c:pt idx="2">
                  <c:v>10</c:v>
                </c:pt>
                <c:pt idx="3">
                  <c:v>6</c:v>
                </c:pt>
                <c:pt idx="4">
                  <c:v>10</c:v>
                </c:pt>
              </c:numCache>
            </c:numRef>
          </c:val>
        </c:ser>
        <c:dLbls>
          <c:showLegendKey val="0"/>
          <c:showVal val="0"/>
          <c:showCatName val="0"/>
          <c:showSerName val="0"/>
          <c:showPercent val="0"/>
          <c:showBubbleSize val="0"/>
        </c:dLbls>
        <c:gapWidth val="219"/>
        <c:overlap val="-27"/>
        <c:axId val="609469259"/>
        <c:axId val="727442905"/>
      </c:barChart>
      <c:catAx>
        <c:axId val="6094692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7442905"/>
        <c:crosses val="autoZero"/>
        <c:auto val="1"/>
        <c:lblAlgn val="ctr"/>
        <c:lblOffset val="100"/>
        <c:noMultiLvlLbl val="0"/>
      </c:catAx>
      <c:valAx>
        <c:axId val="72744290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946925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大班生态运动游戏和健康活动中</a:t>
            </a:r>
          </a:p>
          <a:p>
            <a:pPr defTabSz="914400">
              <a:defRPr lang="zh-CN" sz="1400" b="0" i="0" u="none" strike="noStrike" kern="1200" spc="0" baseline="0">
                <a:solidFill>
                  <a:schemeClr val="tx1">
                    <a:lumMod val="65000"/>
                    <a:lumOff val="35000"/>
                  </a:schemeClr>
                </a:solidFill>
                <a:latin typeface="+mn-lt"/>
                <a:ea typeface="+mn-ea"/>
                <a:cs typeface="+mn-cs"/>
              </a:defRPr>
            </a:pPr>
            <a:r>
              <a:t>亲社会行为要素提炼</a:t>
            </a:r>
          </a:p>
        </c:rich>
      </c:tx>
      <c:layout/>
      <c:overlay val="0"/>
      <c:spPr>
        <a:noFill/>
        <a:ln>
          <a:noFill/>
        </a:ln>
        <a:effectLst/>
      </c:spPr>
    </c:title>
    <c:autoTitleDeleted val="0"/>
    <c:plotArea>
      <c:layout/>
      <c:barChart>
        <c:barDir val="col"/>
        <c:grouping val="clustered"/>
        <c:varyColors val="0"/>
        <c:ser>
          <c:idx val="0"/>
          <c:order val="0"/>
          <c:tx>
            <c:strRef>
              <c:f>[工作簿1]Sheet1!$A$22</c:f>
              <c:strCache>
                <c:ptCount val="1"/>
                <c:pt idx="0">
                  <c:v>生态运动游戏</c:v>
                </c:pt>
              </c:strCache>
            </c:strRef>
          </c:tx>
          <c:spPr>
            <a:solidFill>
              <a:schemeClr val="accent1"/>
            </a:solidFill>
            <a:ln>
              <a:noFill/>
            </a:ln>
            <a:effectLst/>
          </c:spPr>
          <c:invertIfNegative val="0"/>
          <c:dLbls>
            <c:delete val="1"/>
          </c:dLbls>
          <c:cat>
            <c:strRef>
              <c:f>[工作簿1]Sheet1!$B$21:$F$21</c:f>
              <c:strCache>
                <c:ptCount val="5"/>
                <c:pt idx="0">
                  <c:v>安慰行为</c:v>
                </c:pt>
                <c:pt idx="1">
                  <c:v>助人行为</c:v>
                </c:pt>
                <c:pt idx="2">
                  <c:v>合作行为</c:v>
                </c:pt>
                <c:pt idx="3">
                  <c:v>分享行为</c:v>
                </c:pt>
                <c:pt idx="4">
                  <c:v>公德行为</c:v>
                </c:pt>
              </c:strCache>
            </c:strRef>
          </c:cat>
          <c:val>
            <c:numRef>
              <c:f>[工作簿1]Sheet1!$B$22:$F$22</c:f>
              <c:numCache>
                <c:formatCode>General</c:formatCode>
                <c:ptCount val="5"/>
                <c:pt idx="0">
                  <c:v>0</c:v>
                </c:pt>
                <c:pt idx="1">
                  <c:v>1</c:v>
                </c:pt>
                <c:pt idx="2">
                  <c:v>17</c:v>
                </c:pt>
                <c:pt idx="3">
                  <c:v>0</c:v>
                </c:pt>
                <c:pt idx="4">
                  <c:v>2</c:v>
                </c:pt>
              </c:numCache>
            </c:numRef>
          </c:val>
        </c:ser>
        <c:ser>
          <c:idx val="1"/>
          <c:order val="1"/>
          <c:tx>
            <c:strRef>
              <c:f>[工作簿1]Sheet1!$A$23</c:f>
              <c:strCache>
                <c:ptCount val="1"/>
                <c:pt idx="0">
                  <c:v>健康活动</c:v>
                </c:pt>
              </c:strCache>
            </c:strRef>
          </c:tx>
          <c:spPr>
            <a:solidFill>
              <a:schemeClr val="accent2"/>
            </a:solidFill>
            <a:ln>
              <a:noFill/>
            </a:ln>
            <a:effectLst/>
          </c:spPr>
          <c:invertIfNegative val="0"/>
          <c:dLbls>
            <c:delete val="1"/>
          </c:dLbls>
          <c:cat>
            <c:strRef>
              <c:f>[工作簿1]Sheet1!$B$21:$F$21</c:f>
              <c:strCache>
                <c:ptCount val="5"/>
                <c:pt idx="0">
                  <c:v>安慰行为</c:v>
                </c:pt>
                <c:pt idx="1">
                  <c:v>助人行为</c:v>
                </c:pt>
                <c:pt idx="2">
                  <c:v>合作行为</c:v>
                </c:pt>
                <c:pt idx="3">
                  <c:v>分享行为</c:v>
                </c:pt>
                <c:pt idx="4">
                  <c:v>公德行为</c:v>
                </c:pt>
              </c:strCache>
            </c:strRef>
          </c:cat>
          <c:val>
            <c:numRef>
              <c:f>[工作簿1]Sheet1!$B$23:$F$23</c:f>
              <c:numCache>
                <c:formatCode>General</c:formatCode>
                <c:ptCount val="5"/>
                <c:pt idx="0">
                  <c:v>0</c:v>
                </c:pt>
                <c:pt idx="1">
                  <c:v>0</c:v>
                </c:pt>
                <c:pt idx="2">
                  <c:v>15</c:v>
                </c:pt>
                <c:pt idx="3">
                  <c:v>6</c:v>
                </c:pt>
                <c:pt idx="4">
                  <c:v>8</c:v>
                </c:pt>
              </c:numCache>
            </c:numRef>
          </c:val>
        </c:ser>
        <c:dLbls>
          <c:showLegendKey val="0"/>
          <c:showVal val="0"/>
          <c:showCatName val="0"/>
          <c:showSerName val="0"/>
          <c:showPercent val="0"/>
          <c:showBubbleSize val="0"/>
        </c:dLbls>
        <c:gapWidth val="219"/>
        <c:overlap val="-27"/>
        <c:axId val="714164447"/>
        <c:axId val="355855399"/>
      </c:barChart>
      <c:catAx>
        <c:axId val="7141644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855399"/>
        <c:crosses val="autoZero"/>
        <c:auto val="1"/>
        <c:lblAlgn val="ctr"/>
        <c:lblOffset val="100"/>
        <c:noMultiLvlLbl val="0"/>
      </c:catAx>
      <c:valAx>
        <c:axId val="355855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416444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2020-12-25T09:28:00Z</dcterms:created>
  <dc:creator>小小小丸子</dc:creator>
  <cp:lastModifiedBy>小小小丸子</cp:lastModifiedBy>
  <dcterms:modified xsi:type="dcterms:W3CDTF">2021-12-13T05:02:39Z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8394D00FF6284FA6946C73AB895875F9</vt:lpwstr>
  </property>
</Properties>
</file>