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学期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期中考试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学科：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数学 </w:t>
      </w:r>
      <w:r>
        <w:rPr>
          <w:rFonts w:hint="eastAsia" w:ascii="宋体" w:hAnsi="宋体" w:cs="宋体"/>
          <w:kern w:val="0"/>
          <w:szCs w:val="21"/>
        </w:rPr>
        <w:t xml:space="preserve"> 试卷来源：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五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4、五11</w:t>
      </w:r>
      <w:r>
        <w:rPr>
          <w:rFonts w:hint="eastAsia" w:ascii="宋体" w:hAnsi="宋体" w:cs="宋体"/>
          <w:kern w:val="0"/>
          <w:szCs w:val="21"/>
        </w:rPr>
        <w:t>填表人：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陈洁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检测时间：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2021.6.26   </w:t>
      </w:r>
    </w:p>
    <w:tbl>
      <w:tblPr>
        <w:tblStyle w:val="3"/>
        <w:tblW w:w="9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88.67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97.61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69.05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8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87.42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93.02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58.14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7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  <w:r>
              <w:rPr>
                <w:rFonts w:ascii="Calibri" w:hAnsi="Calibri" w:cs="宋体"/>
                <w:kern w:val="0"/>
                <w:szCs w:val="21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典型错例及情况分析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1176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1204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1100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1120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93.35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93.02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1、口算:个别同学没约分；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2、解方程个别同学不够规范，没写“解”，除数是小数的除法，个别同学算错；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3、分数的混合运算：个别同学通分后，把加法运算算成减法；部分同学没能分析出算式的特点进行简便计算。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8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1150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1075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905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915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86.19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85.12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第2题，个别同学进率不清晰，个别同学没有约分。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个别同学填带分数时没有约分。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第5题的第（2）小问，部分同学在将加法转化成乘法时计算出错。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第6题第2空，部分同学计算阴影部分面积时，只减去一个圆的面积，审题不清。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第7题部分同学对分数的意义理解不清晰。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第10题个别同学没有关注到括号外有了“平方”的符号，填写重复。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210</w:t>
            </w:r>
          </w:p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174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82.86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87.44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第3题部分同学受到前面知识的负迁移，认为“两根绳子”无法比较，没有认真审题；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部分同学对长方形周长公式的应用有些生疏了。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199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想想、画画、算算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516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423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418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83.93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81.01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第1题个别同学拼成的正方形图漏画；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第3题的第二小问，部分同学审题不清，把周长看成面积，个别同学将虚线误认为是图形周长的一部分。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66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88.09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90.70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个别学生抄错数字。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241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95.63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94.57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225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89.29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91.86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个别学生抄错数字；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个别学生应该要把两根段数相乘写成了相加。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82.54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73.25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个别学生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审题不清，要求“直径”，填了“半径”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个别同学计算错误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217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86.11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83.72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个别同学对“疫情清零”理解有误，误认为不再增长便是“清零”；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最后一小问，个别同学分数没有约分。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3" w:colLast="0"/>
            <w:r>
              <w:rPr>
                <w:rFonts w:hint="eastAsia" w:ascii="宋体" w:hAnsi="宋体" w:cs="宋体"/>
                <w:kern w:val="0"/>
                <w:szCs w:val="21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五（4）朱春宇11分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五（11）郝思晗11分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五（11）石雨楠56分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五（11）贺如意57分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1、培养学生仔细审题的习惯，读题时可以圈一圈，画一画。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让学生养成眼熟的题目多读几遍，仔细分析后再动笔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4、关注后进生的学习习惯的培养。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bookmarkEnd w:id="0"/>
    </w:tbl>
    <w:p>
      <w:pPr>
        <w:widowControl/>
        <w:wordWrap w:val="0"/>
        <w:spacing w:line="480" w:lineRule="atLeast"/>
        <w:jc w:val="righ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分析时间：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20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21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66069"/>
    <w:multiLevelType w:val="singleLevel"/>
    <w:tmpl w:val="818660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89E6F"/>
    <w:multiLevelType w:val="singleLevel"/>
    <w:tmpl w:val="EFB89E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509BF1"/>
    <w:multiLevelType w:val="singleLevel"/>
    <w:tmpl w:val="15509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2016-11-09T20:17:00Z</dcterms:created>
  <dc:creator>user</dc:creator>
  <cp:lastModifiedBy>K.ikyo. </cp:lastModifiedBy>
  <dcterms:modified xsi:type="dcterms:W3CDTF">2021-06-26T16:31:21Z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97EED5B24D4F4A3B995B8EEBC9632B6F</vt:lpwstr>
  </property>
</Properties>
</file>