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朱小昌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87.88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95.7%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95.6%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81.5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hint="eastAsia" w:ascii="宋体" w:hAnsi="宋体"/>
                <w:szCs w:val="21"/>
              </w:rPr>
              <w:t>“匀称”的读音选择中，很多学生选了后鼻音；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92.8%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1.AABB有几个写错；2.“飘荡”和“倒映”在词语的辨析中有错；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99.8%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1.部分学生的拟人句不通顺，还有学生没有做，看不懂；</w:t>
            </w:r>
          </w:p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2.转述时有的人称没有改；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87.1%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1.《叶公好龙》道理有错；2.古诗理解填错；3.错别字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82.6%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；2.漏做；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840.4%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77.2%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1.几个学生不做；2.“读课文”写成“课文”；3.部分学生对“煮书”不理解；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86.2%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1246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90.3%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1.字迹马虎，段落不清楚；2.重点部分没有具体展开；3.不能将写过的作文进行迁移；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包梓萱：57；徐翌皓：33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25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0380F6B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85</TotalTime>
  <ScaleCrop>false</ScaleCrop>
  <LinksUpToDate>false</LinksUpToDate>
  <CharactersWithSpaces>988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Administrator</cp:lastModifiedBy>
  <dcterms:modified xsi:type="dcterms:W3CDTF">2021-06-27T02:50:22Z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E6097A2B7C16443F91F7FC17D3C479B2</vt:lpwstr>
  </property>
</Properties>
</file>