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46" w:leftChars="-170" w:hanging="11" w:hangingChars="3"/>
        <w:rPr>
          <w:rFonts w:hint="eastAsia" w:ascii="新宋体" w:hAnsi="新宋体" w:eastAsia="新宋体"/>
          <w:b/>
          <w:spacing w:val="20"/>
          <w:sz w:val="32"/>
          <w:szCs w:val="32"/>
        </w:rPr>
      </w:pPr>
      <w:r>
        <w:rPr>
          <w:rFonts w:hint="eastAsia" w:ascii="新宋体" w:hAnsi="新宋体" w:eastAsia="新宋体"/>
          <w:b/>
          <w:spacing w:val="20"/>
          <w:sz w:val="32"/>
          <w:szCs w:val="32"/>
        </w:rPr>
        <w:t>十三期课题评审书活页(2019年)</w:t>
      </w:r>
    </w:p>
    <w:tbl>
      <w:tblPr>
        <w:tblStyle w:val="4"/>
        <w:tblpPr w:leftFromText="180" w:rightFromText="180" w:vertAnchor="page" w:horzAnchor="page" w:tblpX="7561" w:tblpY="1455"/>
        <w:tblOverlap w:val="never"/>
        <w:tblW w:w="2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260" w:type="dxa"/>
            <w:tcBorders>
              <w:right w:val="dotted" w:color="auto" w:sz="4" w:space="0"/>
            </w:tcBorders>
            <w:noWrap w:val="0"/>
            <w:vAlign w:val="center"/>
          </w:tcPr>
          <w:p>
            <w:pPr>
              <w:jc w:val="center"/>
              <w:rPr>
                <w:rFonts w:hint="eastAsia"/>
              </w:rPr>
            </w:pPr>
            <w:r>
              <w:rPr>
                <w:rFonts w:hint="eastAsia"/>
              </w:rPr>
              <w:t>省统编号</w:t>
            </w:r>
          </w:p>
        </w:tc>
        <w:tc>
          <w:tcPr>
            <w:tcW w:w="1404" w:type="dxa"/>
            <w:tcBorders>
              <w:right w:val="single" w:color="auto" w:sz="4" w:space="0"/>
            </w:tcBorders>
            <w:noWrap w:val="0"/>
            <w:vAlign w:val="center"/>
          </w:tcPr>
          <w:p>
            <w:pPr>
              <w:jc w:val="center"/>
              <w:rPr>
                <w:rFonts w:hint="eastAsia"/>
              </w:rPr>
            </w:pPr>
          </w:p>
        </w:tc>
      </w:tr>
    </w:tbl>
    <w:p>
      <w:pPr>
        <w:keepNext w:val="0"/>
        <w:keepLines w:val="0"/>
        <w:pageBreakBefore w:val="0"/>
        <w:widowControl w:val="0"/>
        <w:tabs>
          <w:tab w:val="left" w:pos="8190"/>
        </w:tabs>
        <w:kinsoku/>
        <w:wordWrap/>
        <w:overflowPunct/>
        <w:topLinePunct w:val="0"/>
        <w:autoSpaceDE/>
        <w:autoSpaceDN/>
        <w:bidi w:val="0"/>
        <w:adjustRightInd/>
        <w:snapToGrid/>
        <w:spacing w:before="157" w:beforeLines="50"/>
        <w:ind w:left="-346" w:leftChars="-170" w:right="-307" w:rightChars="-146" w:hanging="11" w:hangingChars="3"/>
        <w:jc w:val="both"/>
        <w:textAlignment w:val="auto"/>
        <w:rPr>
          <w:rFonts w:hint="eastAsia" w:ascii="新宋体" w:hAnsi="新宋体" w:eastAsia="新宋体"/>
          <w:b/>
          <w:spacing w:val="20"/>
          <w:sz w:val="32"/>
          <w:szCs w:val="32"/>
        </w:rPr>
      </w:pPr>
      <w:r>
        <w:rPr>
          <w:rFonts w:hint="eastAsia" w:ascii="新宋体" w:hAnsi="新宋体" w:eastAsia="新宋体"/>
          <w:b/>
          <w:spacing w:val="20"/>
          <w:sz w:val="32"/>
          <w:szCs w:val="32"/>
        </w:rPr>
        <w:t>课题名称:</w:t>
      </w:r>
      <w:r>
        <w:rPr>
          <w:rFonts w:hint="eastAsia" w:ascii="黑体" w:hAnsi="华文中宋" w:eastAsia="黑体"/>
          <w:b/>
          <w:spacing w:val="20"/>
          <w:sz w:val="32"/>
          <w:szCs w:val="32"/>
          <w:u w:val="single"/>
        </w:rPr>
        <w:t xml:space="preserve"> </w:t>
      </w:r>
      <w:r>
        <w:rPr>
          <w:rFonts w:hint="eastAsia" w:ascii="仿宋" w:hAnsi="仿宋" w:eastAsia="仿宋" w:cs="仿宋"/>
          <w:b/>
          <w:bCs/>
          <w:spacing w:val="0"/>
          <w:sz w:val="28"/>
          <w:szCs w:val="28"/>
          <w:u w:val="single"/>
        </w:rPr>
        <w:t>基于写实记录的小学</w:t>
      </w:r>
      <w:r>
        <w:rPr>
          <w:rFonts w:hint="eastAsia" w:ascii="仿宋" w:hAnsi="仿宋" w:eastAsia="仿宋" w:cs="仿宋"/>
          <w:b/>
          <w:bCs/>
          <w:spacing w:val="0"/>
          <w:sz w:val="28"/>
          <w:szCs w:val="28"/>
          <w:u w:val="single"/>
          <w:lang w:eastAsia="zh-CN"/>
        </w:rPr>
        <w:t>综合实践</w:t>
      </w:r>
      <w:r>
        <w:rPr>
          <w:rFonts w:hint="eastAsia" w:ascii="仿宋" w:hAnsi="仿宋" w:eastAsia="仿宋" w:cs="仿宋"/>
          <w:b/>
          <w:bCs/>
          <w:spacing w:val="0"/>
          <w:sz w:val="28"/>
          <w:szCs w:val="28"/>
          <w:u w:val="single"/>
        </w:rPr>
        <w:t>活动表现性评价研究</w:t>
      </w:r>
      <w:r>
        <w:rPr>
          <w:rFonts w:hint="eastAsia" w:ascii="宋体" w:hAnsi="宋体"/>
          <w:b/>
          <w:spacing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95" w:beforeLines="30" w:after="95" w:afterLines="30" w:line="440" w:lineRule="exact"/>
        <w:ind w:left="-298" w:leftChars="-142" w:right="-1052" w:rightChars="-501" w:firstLine="0" w:firstLineChars="0"/>
        <w:textAlignment w:val="auto"/>
        <w:rPr>
          <w:rFonts w:hint="eastAsia" w:ascii="华文中宋" w:hAnsi="华文中宋" w:eastAsia="华文中宋"/>
          <w:b/>
          <w:sz w:val="28"/>
          <w:szCs w:val="28"/>
        </w:rPr>
      </w:pPr>
      <w:r>
        <w:rPr>
          <w:rFonts w:hint="eastAsia" w:ascii="楷体_GB2312" w:hAnsi="宋体" w:eastAsia="楷体_GB2312"/>
          <w:b/>
          <w:sz w:val="28"/>
          <w:szCs w:val="28"/>
        </w:rPr>
        <w:t>课题设计论证</w:t>
      </w:r>
      <w:r>
        <w:rPr>
          <w:rFonts w:hint="eastAsia" w:ascii="新宋体" w:hAnsi="新宋体" w:eastAsia="新宋体"/>
        </w:rPr>
        <w:t>（限8000字内，不得出现学校和课题组相关人员名字。）</w:t>
      </w:r>
    </w:p>
    <w:tbl>
      <w:tblPr>
        <w:tblStyle w:val="4"/>
        <w:tblW w:w="9180" w:type="dxa"/>
        <w:tblInd w:w="-431"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080"/>
        <w:gridCol w:w="5487"/>
        <w:gridCol w:w="1365"/>
        <w:gridCol w:w="1248"/>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80" w:hRule="atLeast"/>
        </w:trPr>
        <w:tc>
          <w:tcPr>
            <w:tcW w:w="918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7" w:rightChars="-51"/>
              <w:rPr>
                <w:rFonts w:hint="eastAsia" w:ascii="新宋体" w:hAnsi="新宋体" w:eastAsia="新宋体"/>
                <w:sz w:val="24"/>
              </w:rPr>
            </w:pPr>
            <w:r>
              <w:rPr>
                <w:rFonts w:hint="eastAsia" w:ascii="新宋体" w:hAnsi="新宋体" w:eastAsia="新宋体"/>
                <w:sz w:val="24"/>
              </w:rPr>
              <w:t>（</w:t>
            </w:r>
            <w:r>
              <w:rPr>
                <w:rFonts w:hint="eastAsia" w:ascii="新宋体" w:hAnsi="新宋体" w:eastAsia="新宋体"/>
                <w:b/>
                <w:sz w:val="24"/>
              </w:rPr>
              <w:t>一）课题的核心概念及其界定</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11" w:hRule="atLeast"/>
        </w:trPr>
        <w:tc>
          <w:tcPr>
            <w:tcW w:w="918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right="0" w:rightChars="0" w:firstLine="422" w:firstLineChars="200"/>
              <w:textAlignment w:val="auto"/>
              <w:rPr>
                <w:rFonts w:hint="eastAsia" w:ascii="Calibri" w:hAnsi="Calibri"/>
                <w:b/>
                <w:bCs/>
              </w:rPr>
            </w:pPr>
            <w:r>
              <w:rPr>
                <w:rFonts w:hint="eastAsia" w:ascii="Calibri" w:hAnsi="Calibri"/>
                <w:b/>
                <w:bCs/>
              </w:rPr>
              <w:t>1.写实记录</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0" w:firstLineChars="200"/>
              <w:textAlignment w:val="auto"/>
              <w:rPr>
                <w:rFonts w:hint="eastAsia" w:ascii="Calibri" w:hAnsi="Calibri"/>
              </w:rPr>
            </w:pPr>
            <w:r>
              <w:rPr>
                <w:rFonts w:hint="eastAsia" w:ascii="Calibri" w:hAnsi="Calibri"/>
              </w:rPr>
              <w:t>“</w:t>
            </w:r>
            <w:r>
              <w:rPr>
                <w:rFonts w:hint="eastAsia" w:ascii="Calibri" w:hAnsi="Calibri"/>
                <w:b/>
                <w:bCs/>
              </w:rPr>
              <w:t>写实</w:t>
            </w:r>
            <w:r>
              <w:rPr>
                <w:rFonts w:hint="eastAsia" w:ascii="Calibri" w:hAnsi="Calibri"/>
              </w:rPr>
              <w:t>”是指据事直书、如实地描绘事物，或照物体进行写实描绘，并做到与对象基本相符的境界。</w:t>
            </w:r>
            <w:r>
              <w:rPr>
                <w:rFonts w:hint="eastAsia" w:ascii="Calibri" w:hAnsi="Calibri"/>
                <w:b/>
                <w:bCs/>
              </w:rPr>
              <w:t>写实记录</w:t>
            </w:r>
            <w:r>
              <w:rPr>
                <w:rFonts w:hint="eastAsia" w:ascii="Calibri" w:hAnsi="Calibri"/>
              </w:rPr>
              <w:t>是对学生成长过程的真实记录，是在学生成长记录袋的基础上形成的评价手段和方法。</w:t>
            </w:r>
            <w:r>
              <w:rPr>
                <w:rFonts w:hint="eastAsia" w:ascii="Calibri" w:hAnsi="Calibri"/>
                <w:b/>
                <w:bCs/>
              </w:rPr>
              <w:t>本课题中所指的写实记录</w:t>
            </w:r>
            <w:r>
              <w:rPr>
                <w:rFonts w:hint="eastAsia" w:ascii="Calibri" w:hAnsi="Calibri"/>
              </w:rPr>
              <w:t>，是学生参与综合实践活动具体情况的客观记录，以活动记录单为主要载体，包括活动主题、持续时间、所承担的角色、任务分工及完成情况等，辅之以相关事实材料，如活动现场照片、作品、研究报告、相关证明等。</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2" w:firstLineChars="200"/>
              <w:textAlignment w:val="auto"/>
              <w:rPr>
                <w:rFonts w:hint="eastAsia" w:ascii="Calibri" w:hAnsi="Calibri"/>
              </w:rPr>
            </w:pPr>
            <w:r>
              <w:rPr>
                <w:rFonts w:hint="eastAsia" w:ascii="Calibri" w:hAnsi="Calibri"/>
                <w:b/>
                <w:bCs/>
              </w:rPr>
              <w:t>2.表现性评价</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2" w:firstLineChars="200"/>
              <w:textAlignment w:val="auto"/>
              <w:rPr>
                <w:rFonts w:hint="eastAsia" w:ascii="Calibri" w:hAnsi="Calibri"/>
              </w:rPr>
            </w:pPr>
            <w:r>
              <w:rPr>
                <w:rFonts w:hint="eastAsia" w:ascii="Calibri" w:hAnsi="Calibri"/>
                <w:b/>
                <w:bCs/>
              </w:rPr>
              <w:t>表现性评价</w:t>
            </w:r>
            <w:r>
              <w:rPr>
                <w:rFonts w:hint="eastAsia" w:ascii="Calibri" w:hAnsi="Calibri"/>
              </w:rPr>
              <w:t>是通过完成一些实际的任务，诱导出学生的真实表现，以此评价学生掌握和运用知识和能力的方法。</w:t>
            </w:r>
            <w:r>
              <w:rPr>
                <w:rFonts w:hint="eastAsia" w:ascii="Calibri" w:hAnsi="Calibri"/>
                <w:b/>
                <w:bCs/>
              </w:rPr>
              <w:t>小学综合实践活动表现性评价</w:t>
            </w:r>
            <w:r>
              <w:rPr>
                <w:rFonts w:hint="eastAsia" w:ascii="Calibri" w:hAnsi="Calibri"/>
              </w:rPr>
              <w:t>，是指在小学生实践活动的过程中，依据具体的目标，通过对学生活动表现的系统观察和深入分析，以考查学生发现和提出问题、收集和处理信息、综合运用知识解决实际问题等方面的能力，以及规划与组织、合作与交流、沟通与表达、反思与自我管理等非认知结果发展的一种评价方法。</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22" w:firstLineChars="200"/>
              <w:textAlignment w:val="auto"/>
              <w:rPr>
                <w:rFonts w:hint="eastAsia" w:ascii="新宋体" w:hAnsi="新宋体" w:eastAsia="新宋体"/>
                <w:b/>
                <w:szCs w:val="21"/>
              </w:rPr>
            </w:pPr>
            <w:r>
              <w:rPr>
                <w:rFonts w:hint="eastAsia" w:ascii="Calibri" w:hAnsi="Calibri"/>
                <w:b/>
                <w:bCs/>
              </w:rPr>
              <w:t>基于写实记录的小学综合实践活动表现性评价</w:t>
            </w:r>
            <w:r>
              <w:rPr>
                <w:rFonts w:hint="eastAsia" w:ascii="Calibri" w:hAnsi="Calibri"/>
              </w:rPr>
              <w:t>，是依据小学综合实践活动课程目标，伴随学生实践活动的具体过程，以全面、真实、简洁的写实记录为依据，以表现性任务及相应规则的开发与实施为主要活动的一系列评价活动。</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90" w:hRule="atLeast"/>
        </w:trPr>
        <w:tc>
          <w:tcPr>
            <w:tcW w:w="918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7" w:rightChars="-51"/>
              <w:jc w:val="both"/>
              <w:rPr>
                <w:rFonts w:hint="eastAsia" w:ascii="新宋体" w:hAnsi="新宋体" w:eastAsia="新宋体"/>
                <w:b/>
                <w:sz w:val="24"/>
              </w:rPr>
            </w:pPr>
            <w:r>
              <w:rPr>
                <w:rFonts w:hint="eastAsia" w:ascii="新宋体" w:hAnsi="新宋体" w:eastAsia="新宋体"/>
                <w:b/>
                <w:sz w:val="24"/>
              </w:rPr>
              <w:t>（二）国内外相关研究领域现状述评及研究意义</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2902" w:hRule="atLeast"/>
        </w:trPr>
        <w:tc>
          <w:tcPr>
            <w:tcW w:w="918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eastAsia="zh-CN"/>
              </w:rPr>
            </w:pPr>
            <w:r>
              <w:rPr>
                <w:rFonts w:hint="eastAsia"/>
                <w:b/>
                <w:bCs/>
                <w:lang w:eastAsia="zh-CN"/>
              </w:rPr>
              <w:t>关于综合实践活动评价的研究</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长期以来，综合实践活动课程的实施因为受到诸多因素的制约而举步维艰，其中，这门课程难以评价是关键的制约因素之一。如何客观有效地评价学生在综合实践活动课程中的发展，成为现阶段综合实践活动研究的重要命题。</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eastAsia="zh-CN"/>
              </w:rPr>
            </w:pPr>
            <w:r>
              <w:rPr>
                <w:rFonts w:hint="eastAsia"/>
                <w:lang w:val="en-US" w:eastAsia="zh-CN"/>
              </w:rPr>
              <w:t>不同于学科课程着重关注既有知识体系的理解与掌握，综合实践活动课程的评价焦点转向学生的可迁移通用能力。综合实践活动课程肩负着超越单一学科型态、变革教与学方式的使命。综合实践活动的课程目标具有明显的统整性、跨学科性、情境性和内隐性等特点，使得学校和教师原有的学科课程评价方式难以适应。</w:t>
            </w:r>
            <w:r>
              <w:rPr>
                <w:rFonts w:hint="eastAsia"/>
                <w:lang w:eastAsia="zh-CN"/>
              </w:rPr>
              <w:t>（李树培，</w:t>
            </w:r>
            <w:r>
              <w:rPr>
                <w:rFonts w:hint="eastAsia"/>
                <w:lang w:val="en-US" w:eastAsia="zh-CN"/>
              </w:rPr>
              <w:t>2017</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eastAsia="zh-CN"/>
              </w:rPr>
            </w:pPr>
            <w:r>
              <w:rPr>
                <w:rFonts w:hint="eastAsia"/>
                <w:lang w:eastAsia="zh-CN"/>
              </w:rPr>
              <w:t>欧盟在核心素养评价方面做了不少探索，主要理念与实践做法有: 将核心素养转换为可观察的外显表现，进而开发出相应的测量工具和量规，通过态度调查问卷、表现性评价等形式对核心素养开展评价；总结性评价和形成性评价日趋融合平衡；探索信息技术在评价中的应用。</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eastAsia="zh-CN"/>
              </w:rPr>
            </w:pPr>
            <w:r>
              <w:rPr>
                <w:rFonts w:hint="eastAsia"/>
                <w:lang w:eastAsia="zh-CN"/>
              </w:rPr>
              <w:t>美国“21 世纪技能”评价也进行了多方面的探索，其共识聚焦于: 支持多种评价方式的平衡，包括有效的课堂形成性评价与总结性评价以及高质量的标准化测试；</w:t>
            </w:r>
            <w:r>
              <w:rPr>
                <w:rFonts w:hint="eastAsia"/>
                <w:b w:val="0"/>
                <w:bCs w:val="0"/>
                <w:lang w:eastAsia="zh-CN"/>
              </w:rPr>
              <w:t>强调嵌入日常学习的学生表现的反馈；</w:t>
            </w:r>
            <w:r>
              <w:rPr>
                <w:rFonts w:hint="eastAsia"/>
                <w:lang w:eastAsia="zh-CN"/>
              </w:rPr>
              <w:t>在测量学生“21 世纪技能”掌握方面，需要平衡技术支持的形成性评价与总结性评价；鼓励开发有关学生作品与工作的档案袋，向教育者及未来雇主展示学生“21 世纪技能”的掌握；鼓励使用平衡的电子档案袋方式，来评估教育系统在促进学生达到高水平“21 世纪技能”方面的有效性。</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eastAsia="zh-CN"/>
              </w:rPr>
            </w:pPr>
            <w:r>
              <w:rPr>
                <w:rFonts w:hint="eastAsia"/>
                <w:lang w:eastAsia="zh-CN"/>
              </w:rPr>
              <w:t>欧盟与美国在评价方面的共识充分印证和肯定了我国综合实践活动课程核心素养评价的方向和追求，如评价与教学的一体化和互为促进作用；着力发展表现性评价、档案袋评价等多种评价方式；积极探索信息技术对于评价的支持和丰富作用；强调评价与日常学习过程和学习表现的融合等。（李树培，</w:t>
            </w:r>
            <w:r>
              <w:rPr>
                <w:rFonts w:hint="eastAsia"/>
                <w:lang w:val="en-US" w:eastAsia="zh-CN"/>
              </w:rPr>
              <w:t>2016</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eastAsia="zh-CN"/>
              </w:rPr>
            </w:pPr>
            <w:r>
              <w:rPr>
                <w:rFonts w:hint="eastAsia"/>
                <w:lang w:val="en-US" w:eastAsia="zh-CN"/>
              </w:rPr>
              <w:t>2017年，教育部正式颁布了《中小学综合实践活动课程指导纲要》，对课程的评价提出了原则和具体要求。“</w:t>
            </w:r>
            <w:r>
              <w:rPr>
                <w:rFonts w:hint="eastAsia"/>
                <w:lang w:eastAsia="zh-CN"/>
              </w:rPr>
              <w:t>综合实践活动情况是学生综合素质评价的重要内容。各学校和教师要以促进学生综合素质持续发展为目的设计与实施综合实践活动评价。要坚持评价的方向性、指导性、客观性、公正性等原则。</w:t>
            </w:r>
            <w:r>
              <w:rPr>
                <w:rFonts w:hint="eastAsia"/>
                <w:lang w:val="en-US" w:eastAsia="zh-CN"/>
              </w:rPr>
              <w:t>”具体要求有：</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eastAsia="zh-CN"/>
              </w:rPr>
            </w:pPr>
            <w:r>
              <w:rPr>
                <w:rFonts w:hint="eastAsia"/>
                <w:lang w:val="en-US" w:eastAsia="zh-CN"/>
              </w:rPr>
              <w:t>1.</w:t>
            </w:r>
            <w:r>
              <w:rPr>
                <w:rFonts w:hint="eastAsia"/>
                <w:lang w:eastAsia="zh-CN"/>
              </w:rPr>
              <w:t>突出发展导向。坚持学生成长导向，通过对学生成长过程的观察、记录、分析，促进学校及教师把握学生的成长规律，了解学生的个性与特长，不断激发学生的潜能，为更好地促进学生成长提供依据。评价的首要功能是让学生及时获得关于学习过程的反馈，改进后续活动。要避免评价过程中只重结果、不重过程的现象。要对学生作品进行深入分析和研究，挖掘其背后蕴藏的学生的思想、创意和体验，杜绝对学生的作品随意打分和简单排名等功利主义做法。</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eastAsia="zh-CN"/>
              </w:rPr>
            </w:pPr>
            <w:r>
              <w:rPr>
                <w:rFonts w:hint="eastAsia"/>
                <w:lang w:val="en-US" w:eastAsia="zh-CN"/>
              </w:rPr>
              <w:t>2.</w:t>
            </w:r>
            <w:r>
              <w:rPr>
                <w:rFonts w:hint="eastAsia"/>
                <w:lang w:eastAsia="zh-CN"/>
              </w:rPr>
              <w:t>做好写实记录。教师要指导学生客观记录参与活动的具体情况，包括活动主题、持续时间、所承担的角色、任务分工及完成情况等，及时填写活动记录单，并收集相关事实材料，如活动现场照片、作品、研究报告、实践单位证明等。活动记录、事实材料要真实、有据可查，为综合实践活动评价提供必要基础。</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eastAsia="zh-CN"/>
              </w:rPr>
            </w:pPr>
            <w:r>
              <w:rPr>
                <w:rFonts w:hint="eastAsia"/>
                <w:lang w:val="en-US" w:eastAsia="zh-CN"/>
              </w:rPr>
              <w:t>3.</w:t>
            </w:r>
            <w:r>
              <w:rPr>
                <w:rFonts w:hint="eastAsia"/>
                <w:lang w:eastAsia="zh-CN"/>
              </w:rPr>
              <w:t>建立档案袋。在活动过程中，教师要指导学生分类整理、遴选具有代表性的重要活动记录、典型事实材料以及其他有关资料，编排、汇总、归档，形成每一个学生的综合实践活动档案袋，并纳入学生综合素质档案。档案袋是学生自我评价、同伴互评、教师评价学生的重要依据，也是招生录取中综合评价的重要参考。</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b/>
                <w:bCs/>
                <w:lang w:eastAsia="zh-CN"/>
              </w:rPr>
            </w:pPr>
            <w:r>
              <w:rPr>
                <w:rFonts w:hint="eastAsia"/>
                <w:lang w:val="en-US" w:eastAsia="zh-CN"/>
              </w:rPr>
              <w:t>4.</w:t>
            </w:r>
            <w:r>
              <w:rPr>
                <w:rFonts w:hint="eastAsia"/>
                <w:lang w:eastAsia="zh-CN"/>
              </w:rPr>
              <w:t>开展科学评价。原则上每学期末，教师要依据课程目标和档案袋，结合平时对学生活动情况的观察，对学生综合素质发展水平进行科学分析，写出有关综合实践活动情况的评语，引导学生扬长避短，明确努力方向。高中学校要结合实际情况，研究制定学生综合实践活动评价标准和学分认定办法，对学生综合实践活动课程学分进行认定。</w:t>
            </w:r>
          </w:p>
          <w:p>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eastAsia="zh-CN"/>
              </w:rPr>
            </w:pPr>
            <w:r>
              <w:rPr>
                <w:rFonts w:hint="eastAsia"/>
                <w:b/>
                <w:bCs/>
                <w:lang w:eastAsia="zh-CN"/>
              </w:rPr>
              <w:t>关于表现性评价的研究</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如何客观有效地评价学生在综合实践活动课程中的发展，成为现阶段综合实践活动研究的重要命题。而引入表现性评价，是综合实践活动课程评价改革的一种有益尝试。</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表现性评价（performance assessment）不仅是一种评价理念，也是一种评价方法。对于表现性评价的认识，具有代表性的是斯蒂金斯（R.J.Stiggins）和威金斯（G.Wiggins）的观点。前者认为：“表现性评价为测量学习者运用先前所获得的知识解决新异问题或完成具体任务能力的一系列尝试”，“其形式包括建构反应题、书面报告、作文、演说、操作、实验、资料收集、作品展示”。后者则强调，表现性评价要求学生完成一个活动，或制作一个作品以证明其知识与技能等，即主张让学生在真实情景中去表现其所知与所能。还有许多学者从不同的角度对表现性评价进行界定，但都肯定了表现性评价的“实作”与“表现”。表现性评价不仅评价学生“知道什么”，更重要的是评价学生“能做什么”；表现性评价有清晰可行的学习目标；表现性评价倡导学生积极参与；表现性评价不仅关注结果，更加关注学生在过程中的表现。（胡婷婷，2014）</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eastAsia="zh-CN"/>
              </w:rPr>
            </w:pPr>
            <w:r>
              <w:rPr>
                <w:rFonts w:hint="eastAsia"/>
                <w:lang w:val="en-US" w:eastAsia="zh-CN"/>
              </w:rPr>
              <w:t>传统的学科学习评价方式长于检测学生对知识和技能的识记、理解和简单运用的情况，对于知识技能的综合运用能力、创造性地解决实际问题的能力则难以测查，对于情意态度方面的测评更是无能为力，显然不能满足综合实践活动课程评价的需要。而表现性评价的主要优势在于通过对外在行为表现的分析，评判学习者内在能力或倾向的发展，正好克服了传统评价方式的弊端。（钱新建2015）不论是从评价的内容指向还是操作特点上看，表现性评价都是非常“适合综合实践活动课程的有效评价方式”（万伟，2015）</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综合实践活动表现性评价的实施是一个基于评价目标、运用评价工具、展开评价活动、形成评价结果的系列活动。（钱新建2015）实施表现性评价的要求有：1. 制订评价等级并设计具体的评分标准，让学生以此为依托指导并规范自己的活动；2.以多元化标准保证评价的公平性；3. 评价过程中应该适当发挥民主，适时让学生参与评分；4. 将评价过程与学生在实际生活中的学习过程整合起来，更好地促进学习。（胡婷婷，2014）</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表现性评价可应用于综合实践活动课程实施的各个阶段，主要可用作起点评估、过程评价和结果评定，三种类型表现性评价的评价目的、作用时机和主要用途各有不同。（钱新建2015）</w:t>
            </w:r>
          </w:p>
          <w:p>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eastAsia="zh-CN"/>
              </w:rPr>
            </w:pPr>
            <w:r>
              <w:rPr>
                <w:rFonts w:hint="eastAsia"/>
                <w:b/>
                <w:bCs/>
                <w:lang w:eastAsia="zh-CN"/>
              </w:rPr>
              <w:t>关于写实记录的研究</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eastAsia="zh-CN"/>
              </w:rPr>
            </w:pPr>
            <w:r>
              <w:rPr>
                <w:rFonts w:hint="eastAsia"/>
                <w:lang w:eastAsia="zh-CN"/>
              </w:rPr>
              <w:t>写实记录是对学生成长过程的真实记录，是在学生成长记录袋的基础上形成的评价手段和方法。综合实践活动课程评价需要运用多种评价方式来将内隐的核心素养转化为可观察可感知的外在表现，比如：可以借助态度调查问卷、表现性评价等方式来评价学生的核心素养。但无论运用何种评价方式，其先决条件为真实细致的观察，并辅以精到、关键、如实的记录描述。（李树培，</w:t>
            </w:r>
            <w:r>
              <w:rPr>
                <w:rFonts w:hint="eastAsia"/>
                <w:lang w:val="en-US" w:eastAsia="zh-CN"/>
              </w:rPr>
              <w:t>2017</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eastAsia="zh-CN"/>
              </w:rPr>
            </w:pPr>
            <w:r>
              <w:rPr>
                <w:rFonts w:hint="eastAsia"/>
                <w:lang w:eastAsia="zh-CN"/>
              </w:rPr>
              <w:t>写实记录是学生成长过程中的真实记载，对学生的成长具有很强的教育功能。学生可以从自己和同学的成长过程中体会、反思自己的成长经历，总结经验和吸取教训。写实记录是由学生自己去按照要求去自我总结和自我评价，体现了学生是综合素质评价的主体。（侯沛成，陈维，</w:t>
            </w:r>
            <w:r>
              <w:rPr>
                <w:rFonts w:hint="eastAsia"/>
                <w:lang w:val="en-US" w:eastAsia="zh-CN"/>
              </w:rPr>
              <w:t>2016</w:t>
            </w:r>
            <w:r>
              <w:rPr>
                <w:rFonts w:hint="eastAsia"/>
                <w:lang w:eastAsia="zh-CN"/>
              </w:rPr>
              <w:t>）客观记录本身有许多好处，一是养成做事要有计划和做事过程中要注意收集、记录事实依据，事后要有完整的总结的良好习惯。二是在做事的过程中能获得好多感悟，也提高了能力和素质，培养了坚持的品质。（王殿军，</w:t>
            </w:r>
            <w:r>
              <w:rPr>
                <w:rFonts w:hint="eastAsia"/>
                <w:lang w:val="en-US" w:eastAsia="zh-CN"/>
              </w:rPr>
              <w:t>2015</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b w:val="0"/>
                <w:bCs w:val="0"/>
                <w:lang w:eastAsia="zh-CN"/>
              </w:rPr>
              <w:t>写实记录目前较多被用于高中学生综合素质评价的社会实践活动领域中使用，其功能主要有两个，一是教育激励功能，用学生的进步和成长经历教育和激励学生更好的成长；二是判定功能，为高校招生提供素质评价依据。部分义务教育阶段学校也开展了一些探索，例如上海华东师范大学第四附属中学开发的</w:t>
            </w:r>
            <w:r>
              <w:rPr>
                <w:rFonts w:hint="eastAsia"/>
                <w:lang w:eastAsia="zh-CN"/>
              </w:rPr>
              <w:t>“学生艺术素质测评电子平台”，内嵌于“校内外”平台“华四精彩每天”校园群内，点开后是对应的 10 项测评点。根据测评内容的不同，可以分别通过上传照片、音频、视频、文字等形式完成对过程的写实记录，并通过师评、互评、自评以及“点赞”等形式对学生艺术素质进行多元评价。（王萍，</w:t>
            </w:r>
            <w:r>
              <w:rPr>
                <w:rFonts w:hint="eastAsia"/>
                <w:lang w:val="en-US" w:eastAsia="zh-CN"/>
              </w:rPr>
              <w:t>2016</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eastAsia="zh-CN"/>
              </w:rPr>
            </w:pPr>
            <w:r>
              <w:rPr>
                <w:rFonts w:hint="eastAsia"/>
                <w:lang w:eastAsia="zh-CN"/>
              </w:rPr>
              <w:t>做好写实记录，其</w:t>
            </w:r>
            <w:r>
              <w:rPr>
                <w:rFonts w:hint="eastAsia"/>
              </w:rPr>
              <w:t>根本诉求是进一步规避、摒弃以往偏重主观评价的弊端与症结，而高度强调基于客观事实的评价，其内在逻辑就是通过对学生外在行为的专业判断，来整体衡量该学生的内在潜能或潜质。</w:t>
            </w:r>
            <w:r>
              <w:rPr>
                <w:rFonts w:hint="eastAsia"/>
                <w:lang w:eastAsia="zh-CN"/>
              </w:rPr>
              <w:t>活动记录的实施主体应是学生本人，教师不宜僭越；活动记录的内容应真实可查，“事件”不可虚构；活动记录的描述要客观具体，无须“富有感情色彩”；写实活动的记录要有代表性，不必“面面俱到”。（王宏伟，刘志军，</w:t>
            </w:r>
            <w:r>
              <w:rPr>
                <w:rFonts w:hint="eastAsia"/>
                <w:lang w:val="en-US" w:eastAsia="zh-CN"/>
              </w:rPr>
              <w:t>2016</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lang w:eastAsia="zh-CN"/>
              </w:rPr>
            </w:pPr>
            <w:r>
              <w:rPr>
                <w:rFonts w:hint="eastAsia"/>
                <w:b/>
                <w:bCs/>
                <w:lang w:eastAsia="zh-CN"/>
              </w:rPr>
              <w:t>研究的意义和价值</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eastAsia="zh-CN"/>
              </w:rPr>
            </w:pPr>
            <w:r>
              <w:rPr>
                <w:rFonts w:hint="eastAsia"/>
                <w:lang w:eastAsia="zh-CN"/>
              </w:rPr>
              <w:t>从相关研究的分析可以发现，综合实践活动的评价问题已经成为课程管理者和实施者关注的重点，也是综合实践活动课程实施中的难点；评价与教学的一体化和互为促进作用、着力发展表现性评价、档案袋评价等多种评价方式、积极探索信息技术对于评价的支持和丰富作用、强调评价与日常学习过程和学习表现的融合等，已成为国内外课程评价的共识和趋势。写实记录的研究主要集中在高中综合素质评价中，在小学阶段、在综合实践活动课程评价中很少涉及，有实践指导价值的经验近乎空白；表现性评价已引起关注，并在课程评价活动中有了一些尝试，但较多被应用在能力监测等结果性评价中，如何在学生的日常实践中作为过程性评价手段常态运用，还缺乏有生命力的研究成果。</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eastAsia="zh-CN"/>
              </w:rPr>
            </w:pPr>
            <w:r>
              <w:rPr>
                <w:rFonts w:hint="eastAsia"/>
                <w:lang w:eastAsia="zh-CN"/>
              </w:rPr>
              <w:t>同时，从综合实践活动课程实施的现状来看，直至目前，我国综合实践活动课程的常态化实施问题一直没能很好解决，而在学校和教师层面普遍持有一种观点，即“动起来真精彩”，能够正常开设综合实践活动课程已经很难得了，至于怎么评价并不重要。相应地，对于综合实践活动课程为什么评价、怎么评价、评价什么、谁来评价这些关键问题上存在认识模糊和操作偏差的现实困境。</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eastAsia="zh-CN"/>
              </w:rPr>
            </w:pPr>
            <w:r>
              <w:rPr>
                <w:rFonts w:hint="eastAsia"/>
                <w:lang w:eastAsia="zh-CN"/>
              </w:rPr>
              <w:t>因此，本课题的研究，试图回答学生在综合实践活动课程中应该发展哪些素养、如何观察、评定与促进学生的素养发展等关键评价问题，具有较高的研究价值和实践意义。</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23" w:hRule="atLeast"/>
        </w:trPr>
        <w:tc>
          <w:tcPr>
            <w:tcW w:w="918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52" w:rightChars="-501"/>
              <w:jc w:val="both"/>
              <w:rPr>
                <w:rFonts w:hint="eastAsia" w:ascii="新宋体" w:hAnsi="新宋体" w:eastAsia="新宋体"/>
                <w:b/>
                <w:sz w:val="24"/>
              </w:rPr>
            </w:pPr>
            <w:r>
              <w:rPr>
                <w:rFonts w:hint="eastAsia" w:ascii="新宋体" w:hAnsi="新宋体" w:eastAsia="新宋体"/>
                <w:b/>
                <w:sz w:val="24"/>
              </w:rPr>
              <w:t>（三）研究的目标、内容（或子课题设计）与重点</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9" w:hRule="atLeast"/>
        </w:trPr>
        <w:tc>
          <w:tcPr>
            <w:tcW w:w="918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b/>
                <w:bCs/>
                <w:szCs w:val="21"/>
              </w:rPr>
            </w:pPr>
            <w:r>
              <w:rPr>
                <w:rFonts w:hint="eastAsia"/>
                <w:b/>
                <w:bCs/>
                <w:szCs w:val="21"/>
              </w:rPr>
              <w:t>研究目标：</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szCs w:val="21"/>
              </w:rPr>
            </w:pPr>
            <w:r>
              <w:rPr>
                <w:rFonts w:hint="eastAsia"/>
                <w:szCs w:val="21"/>
              </w:rPr>
              <w:t>1.</w:t>
            </w:r>
            <w:r>
              <w:rPr>
                <w:szCs w:val="21"/>
              </w:rPr>
              <w:t>通过研究，进一步深化对综合实践活动</w:t>
            </w:r>
            <w:r>
              <w:rPr>
                <w:rFonts w:hint="eastAsia"/>
                <w:szCs w:val="21"/>
              </w:rPr>
              <w:t>写实记录和表现性评价的</w:t>
            </w:r>
            <w:r>
              <w:rPr>
                <w:szCs w:val="21"/>
              </w:rPr>
              <w:t>内涵及指导规律的认识和理解，获得系统而具体的实践经验。</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szCs w:val="21"/>
              </w:rPr>
            </w:pPr>
            <w:r>
              <w:rPr>
                <w:rFonts w:hint="eastAsia"/>
                <w:szCs w:val="21"/>
              </w:rPr>
              <w:t>2.通过研究，</w:t>
            </w:r>
            <w:r>
              <w:rPr>
                <w:szCs w:val="21"/>
              </w:rPr>
              <w:t>改善综合实践活动</w:t>
            </w:r>
            <w:r>
              <w:rPr>
                <w:rFonts w:hint="eastAsia"/>
                <w:szCs w:val="21"/>
              </w:rPr>
              <w:t>评价</w:t>
            </w:r>
            <w:r>
              <w:rPr>
                <w:szCs w:val="21"/>
              </w:rPr>
              <w:t>的实际行动，</w:t>
            </w:r>
            <w:r>
              <w:rPr>
                <w:rFonts w:hint="eastAsia"/>
                <w:szCs w:val="21"/>
              </w:rPr>
              <w:t>通过写实记录</w:t>
            </w:r>
            <w:r>
              <w:rPr>
                <w:szCs w:val="21"/>
              </w:rPr>
              <w:t>有效地</w:t>
            </w:r>
            <w:r>
              <w:rPr>
                <w:rFonts w:hint="eastAsia"/>
                <w:szCs w:val="21"/>
              </w:rPr>
              <w:t>发挥导向性的育人功能</w:t>
            </w:r>
            <w:r>
              <w:rPr>
                <w:szCs w:val="21"/>
              </w:rPr>
              <w:t>，促进学生综合实践活动能力的发展</w:t>
            </w:r>
            <w:r>
              <w:rPr>
                <w:rFonts w:hint="eastAsia"/>
                <w:szCs w:val="21"/>
              </w:rPr>
              <w:t>，提升学生的综合素质</w:t>
            </w:r>
            <w:r>
              <w:rPr>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szCs w:val="21"/>
              </w:rPr>
            </w:pPr>
            <w:r>
              <w:rPr>
                <w:rFonts w:hint="eastAsia"/>
                <w:szCs w:val="21"/>
              </w:rPr>
              <w:t>3.</w:t>
            </w:r>
            <w:r>
              <w:rPr>
                <w:szCs w:val="21"/>
              </w:rPr>
              <w:t>通过研究，</w:t>
            </w:r>
            <w:r>
              <w:rPr>
                <w:rFonts w:hint="eastAsia"/>
                <w:szCs w:val="21"/>
              </w:rPr>
              <w:t>促进教师以促进学生综合素质持续发展为目的，</w:t>
            </w:r>
            <w:r>
              <w:rPr>
                <w:szCs w:val="21"/>
              </w:rPr>
              <w:t>提高设计与实施综合实践活动、特别是进行</w:t>
            </w:r>
            <w:r>
              <w:rPr>
                <w:rFonts w:hint="eastAsia"/>
                <w:szCs w:val="21"/>
              </w:rPr>
              <w:t>客观评价</w:t>
            </w:r>
            <w:r>
              <w:rPr>
                <w:szCs w:val="21"/>
              </w:rPr>
              <w:t>的能力</w:t>
            </w:r>
            <w:r>
              <w:rPr>
                <w:rFonts w:hint="eastAsia"/>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szCs w:val="21"/>
              </w:rPr>
            </w:pPr>
            <w:r>
              <w:rPr>
                <w:rFonts w:hint="eastAsia"/>
                <w:szCs w:val="21"/>
              </w:rPr>
              <w:t>4.通过研究，发展教师的课程研究能力，不断提高综合实践活动的专业素养，促进综合实践活动教师的专业成长。</w:t>
            </w:r>
          </w:p>
          <w:p>
            <w:pPr>
              <w:keepNext w:val="0"/>
              <w:keepLines w:val="0"/>
              <w:pageBreakBefore w:val="0"/>
              <w:widowControl w:val="0"/>
              <w:kinsoku/>
              <w:wordWrap/>
              <w:overflowPunct/>
              <w:topLinePunct w:val="0"/>
              <w:autoSpaceDE/>
              <w:autoSpaceDN/>
              <w:bidi w:val="0"/>
              <w:adjustRightInd w:val="0"/>
              <w:snapToGrid w:val="0"/>
              <w:spacing w:before="157" w:beforeLines="50" w:line="360" w:lineRule="exact"/>
              <w:ind w:firstLine="422" w:firstLineChars="200"/>
              <w:textAlignment w:val="auto"/>
              <w:rPr>
                <w:rFonts w:hint="eastAsia"/>
                <w:b/>
                <w:bCs/>
                <w:szCs w:val="21"/>
              </w:rPr>
            </w:pPr>
            <w:r>
              <w:rPr>
                <w:rFonts w:hint="eastAsia"/>
                <w:b/>
                <w:bCs/>
                <w:szCs w:val="21"/>
              </w:rPr>
              <w:t>研究内容：</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hint="eastAsia"/>
                <w:b/>
                <w:bCs/>
                <w:szCs w:val="21"/>
              </w:rPr>
            </w:pPr>
            <w:r>
              <w:rPr>
                <w:rFonts w:hint="eastAsia"/>
                <w:b/>
                <w:bCs/>
                <w:szCs w:val="21"/>
              </w:rPr>
              <w:t>1.综合实践活动课程评价理论与实践经验的文献研究。</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szCs w:val="21"/>
              </w:rPr>
            </w:pPr>
            <w:r>
              <w:rPr>
                <w:rFonts w:hint="eastAsia"/>
                <w:szCs w:val="21"/>
              </w:rPr>
              <w:t>通过对综合实践活动课程评价理论与实践经验的代表文献的研究，进一步把握综合实践活动评价，特别是表现性评价及写实记录的内涵、价值、实施原则及发展趋势，为本课题的实践研究奠定坚实的理论基础。</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hint="eastAsia"/>
                <w:b/>
                <w:bCs/>
                <w:szCs w:val="21"/>
              </w:rPr>
            </w:pPr>
            <w:r>
              <w:rPr>
                <w:rFonts w:hint="eastAsia"/>
                <w:b/>
                <w:bCs/>
                <w:szCs w:val="21"/>
              </w:rPr>
              <w:t>2.小学综合实践活动评价现状的调查分析。</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szCs w:val="21"/>
              </w:rPr>
            </w:pPr>
            <w:r>
              <w:rPr>
                <w:rFonts w:hint="eastAsia"/>
                <w:szCs w:val="21"/>
              </w:rPr>
              <w:t>通过对区域、学校、教师、学生等多层面的观察与调查，全面把握小学综合实践活动课程评价的现实状况，梳理课程评价中的突出问题和主要矛盾，为本课题的实践探索提供现实依据。</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hint="eastAsia"/>
                <w:b/>
                <w:bCs/>
                <w:szCs w:val="21"/>
              </w:rPr>
            </w:pPr>
            <w:r>
              <w:rPr>
                <w:rFonts w:hint="eastAsia"/>
                <w:b/>
                <w:bCs/>
                <w:szCs w:val="21"/>
              </w:rPr>
              <w:t>3.综合实践活动课程目标的表现性转化研究。</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szCs w:val="21"/>
              </w:rPr>
            </w:pPr>
            <w:r>
              <w:drawing>
                <wp:anchor distT="0" distB="0" distL="114300" distR="114300" simplePos="0" relativeHeight="251661312" behindDoc="0" locked="0" layoutInCell="1" allowOverlap="1">
                  <wp:simplePos x="0" y="0"/>
                  <wp:positionH relativeFrom="column">
                    <wp:posOffset>1988820</wp:posOffset>
                  </wp:positionH>
                  <wp:positionV relativeFrom="paragraph">
                    <wp:posOffset>85725</wp:posOffset>
                  </wp:positionV>
                  <wp:extent cx="3743960" cy="2016125"/>
                  <wp:effectExtent l="0" t="0" r="8890" b="3175"/>
                  <wp:wrapSquare wrapText="bothSides"/>
                  <wp:docPr id="33" name="图片 2"/>
                  <wp:cNvGraphicFramePr/>
                  <a:graphic xmlns:a="http://schemas.openxmlformats.org/drawingml/2006/main">
                    <a:graphicData uri="http://schemas.openxmlformats.org/drawingml/2006/picture">
                      <pic:pic xmlns:pic="http://schemas.openxmlformats.org/drawingml/2006/picture">
                        <pic:nvPicPr>
                          <pic:cNvPr id="33" name="图片 2"/>
                          <pic:cNvPicPr/>
                        </pic:nvPicPr>
                        <pic:blipFill>
                          <a:blip r:embed="rId5">
                            <a:clrChange>
                              <a:clrFrom>
                                <a:srgbClr val="FFFFFF">
                                  <a:alpha val="100000"/>
                                </a:srgbClr>
                              </a:clrFrom>
                              <a:clrTo>
                                <a:srgbClr val="FFFFFF">
                                  <a:alpha val="100000"/>
                                  <a:alpha val="0"/>
                                </a:srgbClr>
                              </a:clrTo>
                            </a:clrChange>
                            <a:lum bright="-12000" contrast="12000"/>
                          </a:blip>
                          <a:stretch>
                            <a:fillRect/>
                          </a:stretch>
                        </pic:blipFill>
                        <pic:spPr>
                          <a:xfrm>
                            <a:off x="0" y="0"/>
                            <a:ext cx="3743960" cy="2016125"/>
                          </a:xfrm>
                          <a:prstGeom prst="rect">
                            <a:avLst/>
                          </a:prstGeom>
                          <a:noFill/>
                          <a:ln>
                            <a:noFill/>
                          </a:ln>
                        </pic:spPr>
                      </pic:pic>
                    </a:graphicData>
                  </a:graphic>
                </wp:anchor>
              </w:drawing>
            </w:r>
            <w:r>
              <w:rPr>
                <w:rFonts w:hint="eastAsia"/>
                <w:szCs w:val="21"/>
              </w:rPr>
              <w:t>从写实记录和表现性评价的需求出发，以《中小学综合实践活动课程指导纲要》确定的课程目标为依据，以江苏省《义务教育综合实践活动课程纲要》确定的目标维度为参照，以学生在实践活动中的表现为描述对象，系统建构小学阶段综合实践活动课程的能级表现目标。</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Cs w:val="21"/>
              </w:rPr>
            </w:pPr>
          </w:p>
          <w:p>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szCs w:val="21"/>
              </w:rPr>
            </w:pPr>
            <w:r>
              <w:rPr>
                <w:rFonts w:hint="eastAsia"/>
                <w:b/>
                <w:bCs/>
                <w:szCs w:val="21"/>
              </w:rPr>
              <w:t>4.综合实践活动写实记录的内容与形式的研究。</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szCs w:val="21"/>
              </w:rPr>
            </w:pPr>
            <w:r>
              <w:rPr>
                <w:rFonts w:hint="eastAsia"/>
                <w:szCs w:val="21"/>
              </w:rPr>
              <w:t>以小学生综合实践活动的一般过程和主要活动为线索，以满足表现性评价的实际需求为目标，探索小学生综合实践活动写实记录的主要内容及有效形式。重点探索以下几方面的内容：</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szCs w:val="21"/>
              </w:rPr>
            </w:pPr>
            <w:r>
              <w:drawing>
                <wp:anchor distT="0" distB="0" distL="114300" distR="114300" simplePos="0" relativeHeight="251659264" behindDoc="0" locked="0" layoutInCell="1" allowOverlap="1">
                  <wp:simplePos x="0" y="0"/>
                  <wp:positionH relativeFrom="column">
                    <wp:posOffset>252095</wp:posOffset>
                  </wp:positionH>
                  <wp:positionV relativeFrom="paragraph">
                    <wp:posOffset>114935</wp:posOffset>
                  </wp:positionV>
                  <wp:extent cx="2697480" cy="2087880"/>
                  <wp:effectExtent l="9525" t="9525" r="17145" b="17145"/>
                  <wp:wrapSquare wrapText="bothSides"/>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
                          <pic:cNvPicPr>
                            <a:picLocks noChangeAspect="1"/>
                          </pic:cNvPicPr>
                        </pic:nvPicPr>
                        <pic:blipFill>
                          <a:blip r:embed="rId6">
                            <a:grayscl/>
                            <a:lum bright="-12000" contrast="18000"/>
                          </a:blip>
                          <a:stretch>
                            <a:fillRect/>
                          </a:stretch>
                        </pic:blipFill>
                        <pic:spPr>
                          <a:xfrm>
                            <a:off x="0" y="0"/>
                            <a:ext cx="2697480" cy="2087880"/>
                          </a:xfrm>
                          <a:prstGeom prst="rect">
                            <a:avLst/>
                          </a:prstGeom>
                          <a:noFill/>
                          <a:ln>
                            <a:solidFill>
                              <a:schemeClr val="bg1">
                                <a:lumMod val="65000"/>
                              </a:schemeClr>
                            </a:solidFill>
                          </a:ln>
                        </pic:spPr>
                      </pic:pic>
                    </a:graphicData>
                  </a:graphic>
                </wp:anchor>
              </w:drawing>
            </w:r>
          </w:p>
          <w:p>
            <w:pPr>
              <w:keepNext w:val="0"/>
              <w:keepLines w:val="0"/>
              <w:pageBreakBefore w:val="0"/>
              <w:widowControl w:val="0"/>
              <w:kinsoku/>
              <w:wordWrap/>
              <w:overflowPunct/>
              <w:topLinePunct w:val="0"/>
              <w:autoSpaceDE/>
              <w:autoSpaceDN/>
              <w:bidi w:val="0"/>
              <w:adjustRightInd w:val="0"/>
              <w:snapToGrid w:val="0"/>
              <w:spacing w:line="380" w:lineRule="exact"/>
              <w:ind w:left="4836" w:leftChars="2303" w:firstLine="0" w:firstLineChars="0"/>
              <w:textAlignment w:val="auto"/>
              <w:rPr>
                <w:rFonts w:hint="eastAsia" w:ascii="楷体" w:hAnsi="楷体" w:eastAsia="楷体" w:cs="楷体"/>
                <w:szCs w:val="21"/>
              </w:rPr>
            </w:pPr>
            <w:r>
              <w:rPr>
                <w:rFonts w:hint="eastAsia" w:ascii="楷体" w:hAnsi="楷体" w:eastAsia="楷体" w:cs="楷体"/>
                <w:szCs w:val="21"/>
              </w:rPr>
              <w:t>⑴活动记录单（考核任务书）的设计与使用；</w:t>
            </w:r>
          </w:p>
          <w:p>
            <w:pPr>
              <w:keepNext w:val="0"/>
              <w:keepLines w:val="0"/>
              <w:pageBreakBefore w:val="0"/>
              <w:widowControl w:val="0"/>
              <w:kinsoku/>
              <w:wordWrap/>
              <w:overflowPunct/>
              <w:topLinePunct w:val="0"/>
              <w:autoSpaceDE/>
              <w:autoSpaceDN/>
              <w:bidi w:val="0"/>
              <w:adjustRightInd w:val="0"/>
              <w:snapToGrid w:val="0"/>
              <w:spacing w:line="380" w:lineRule="exact"/>
              <w:ind w:left="4836" w:leftChars="2303" w:firstLine="0" w:firstLineChars="0"/>
              <w:textAlignment w:val="auto"/>
              <w:rPr>
                <w:rFonts w:hint="eastAsia" w:ascii="楷体" w:hAnsi="楷体" w:eastAsia="楷体" w:cs="楷体"/>
                <w:szCs w:val="21"/>
              </w:rPr>
            </w:pPr>
            <w:r>
              <w:rPr>
                <w:rFonts w:hint="eastAsia" w:ascii="楷体" w:hAnsi="楷体" w:eastAsia="楷体" w:cs="楷体"/>
                <w:szCs w:val="21"/>
              </w:rPr>
              <w:t>⑵成长记录袋的框架、内容、形式；</w:t>
            </w:r>
          </w:p>
          <w:p>
            <w:pPr>
              <w:keepNext w:val="0"/>
              <w:keepLines w:val="0"/>
              <w:pageBreakBefore w:val="0"/>
              <w:widowControl w:val="0"/>
              <w:kinsoku/>
              <w:wordWrap/>
              <w:overflowPunct/>
              <w:topLinePunct w:val="0"/>
              <w:autoSpaceDE/>
              <w:autoSpaceDN/>
              <w:bidi w:val="0"/>
              <w:adjustRightInd w:val="0"/>
              <w:snapToGrid w:val="0"/>
              <w:spacing w:line="380" w:lineRule="exact"/>
              <w:ind w:left="4836" w:leftChars="2303" w:firstLine="0" w:firstLineChars="0"/>
              <w:textAlignment w:val="auto"/>
              <w:rPr>
                <w:rFonts w:hint="eastAsia" w:ascii="楷体" w:hAnsi="楷体" w:eastAsia="楷体" w:cs="楷体"/>
                <w:szCs w:val="21"/>
              </w:rPr>
            </w:pPr>
            <w:r>
              <w:rPr>
                <w:rFonts w:hint="eastAsia" w:ascii="楷体" w:hAnsi="楷体" w:eastAsia="楷体" w:cs="楷体"/>
                <w:szCs w:val="21"/>
              </w:rPr>
              <w:t>⑶活动大事记的使用；</w:t>
            </w:r>
          </w:p>
          <w:p>
            <w:pPr>
              <w:keepNext w:val="0"/>
              <w:keepLines w:val="0"/>
              <w:pageBreakBefore w:val="0"/>
              <w:widowControl w:val="0"/>
              <w:kinsoku/>
              <w:wordWrap/>
              <w:overflowPunct/>
              <w:topLinePunct w:val="0"/>
              <w:autoSpaceDE/>
              <w:autoSpaceDN/>
              <w:bidi w:val="0"/>
              <w:adjustRightInd w:val="0"/>
              <w:snapToGrid w:val="0"/>
              <w:spacing w:line="380" w:lineRule="exact"/>
              <w:ind w:left="5033" w:leftChars="2302" w:hanging="199" w:hangingChars="95"/>
              <w:textAlignment w:val="auto"/>
              <w:rPr>
                <w:rFonts w:hint="eastAsia" w:ascii="楷体" w:hAnsi="楷体" w:eastAsia="楷体" w:cs="楷体"/>
                <w:szCs w:val="21"/>
                <w:lang w:val="en-US" w:eastAsia="zh-CN"/>
              </w:rPr>
            </w:pPr>
            <w:r>
              <w:rPr>
                <w:rFonts w:hint="eastAsia" w:ascii="楷体" w:hAnsi="楷体" w:eastAsia="楷体" w:cs="楷体"/>
                <w:szCs w:val="21"/>
              </w:rPr>
              <w:t>⑷现有社交工具、APP等在写实记录中的功</w:t>
            </w:r>
            <w:r>
              <w:rPr>
                <w:rFonts w:hint="eastAsia" w:ascii="楷体" w:hAnsi="楷体" w:eastAsia="楷体" w:cs="楷体"/>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80" w:lineRule="exact"/>
              <w:ind w:left="5044" w:leftChars="2402" w:firstLine="218" w:firstLineChars="104"/>
              <w:textAlignment w:val="auto"/>
              <w:rPr>
                <w:rFonts w:hint="eastAsia" w:ascii="楷体" w:hAnsi="楷体" w:eastAsia="楷体" w:cs="楷体"/>
                <w:szCs w:val="21"/>
              </w:rPr>
            </w:pPr>
            <w:r>
              <w:rPr>
                <w:rFonts w:hint="eastAsia" w:ascii="楷体" w:hAnsi="楷体" w:eastAsia="楷体" w:cs="楷体"/>
                <w:szCs w:val="21"/>
              </w:rPr>
              <w:t>能及使用；</w:t>
            </w:r>
          </w:p>
          <w:p>
            <w:pPr>
              <w:keepNext w:val="0"/>
              <w:keepLines w:val="0"/>
              <w:pageBreakBefore w:val="0"/>
              <w:widowControl w:val="0"/>
              <w:kinsoku/>
              <w:wordWrap/>
              <w:overflowPunct/>
              <w:topLinePunct w:val="0"/>
              <w:autoSpaceDE/>
              <w:autoSpaceDN/>
              <w:bidi w:val="0"/>
              <w:adjustRightInd w:val="0"/>
              <w:snapToGrid w:val="0"/>
              <w:spacing w:line="380" w:lineRule="exact"/>
              <w:ind w:left="4836" w:leftChars="2303" w:firstLine="0" w:firstLineChars="0"/>
              <w:textAlignment w:val="auto"/>
              <w:rPr>
                <w:rFonts w:hint="eastAsia"/>
                <w:szCs w:val="21"/>
              </w:rPr>
            </w:pPr>
            <w:r>
              <w:rPr>
                <w:rFonts w:hint="eastAsia" w:ascii="楷体" w:hAnsi="楷体" w:eastAsia="楷体" w:cs="楷体"/>
                <w:szCs w:val="21"/>
              </w:rPr>
              <w:t>⑸校园网相关功能的开发与使用。</w:t>
            </w:r>
          </w:p>
          <w:p>
            <w:pPr>
              <w:keepNext w:val="0"/>
              <w:keepLines w:val="0"/>
              <w:pageBreakBefore w:val="0"/>
              <w:widowControl w:val="0"/>
              <w:kinsoku/>
              <w:wordWrap/>
              <w:overflowPunct/>
              <w:topLinePunct w:val="0"/>
              <w:autoSpaceDE/>
              <w:autoSpaceDN/>
              <w:bidi w:val="0"/>
              <w:adjustRightInd w:val="0"/>
              <w:snapToGrid w:val="0"/>
              <w:spacing w:line="380" w:lineRule="exact"/>
              <w:ind w:left="4838" w:leftChars="2304" w:firstLine="420" w:firstLineChars="200"/>
              <w:textAlignment w:val="auto"/>
              <w:rPr>
                <w:rFonts w:hint="eastAsia"/>
                <w:szCs w:val="21"/>
              </w:rPr>
            </w:pPr>
          </w:p>
          <w:p>
            <w:pPr>
              <w:keepNext w:val="0"/>
              <w:keepLines w:val="0"/>
              <w:pageBreakBefore w:val="0"/>
              <w:widowControl w:val="0"/>
              <w:kinsoku/>
              <w:wordWrap/>
              <w:overflowPunct/>
              <w:topLinePunct w:val="0"/>
              <w:autoSpaceDE/>
              <w:autoSpaceDN/>
              <w:bidi w:val="0"/>
              <w:adjustRightInd w:val="0"/>
              <w:snapToGrid w:val="0"/>
              <w:spacing w:line="380" w:lineRule="exact"/>
              <w:ind w:left="4838" w:leftChars="2304" w:firstLine="420" w:firstLineChars="200"/>
              <w:textAlignment w:val="auto"/>
              <w:rPr>
                <w:rFonts w:hint="eastAsia"/>
                <w:szCs w:val="21"/>
              </w:rPr>
            </w:pPr>
          </w:p>
          <w:p>
            <w:pPr>
              <w:keepNext w:val="0"/>
              <w:keepLines w:val="0"/>
              <w:pageBreakBefore w:val="0"/>
              <w:widowControl w:val="0"/>
              <w:kinsoku/>
              <w:wordWrap/>
              <w:overflowPunct/>
              <w:topLinePunct w:val="0"/>
              <w:autoSpaceDE/>
              <w:autoSpaceDN/>
              <w:bidi w:val="0"/>
              <w:adjustRightInd w:val="0"/>
              <w:snapToGrid w:val="0"/>
              <w:spacing w:line="380" w:lineRule="exact"/>
              <w:ind w:left="4838" w:leftChars="2304" w:firstLine="420" w:firstLineChars="200"/>
              <w:textAlignment w:val="auto"/>
              <w:rPr>
                <w:rFonts w:hint="eastAsia"/>
                <w:szCs w:val="21"/>
              </w:rPr>
            </w:pPr>
          </w:p>
          <w:p>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b/>
                <w:bCs/>
                <w:szCs w:val="21"/>
              </w:rPr>
            </w:pPr>
            <w:r>
              <w:rPr>
                <w:rFonts w:hint="eastAsia"/>
                <w:b/>
                <w:bCs/>
                <w:szCs w:val="21"/>
              </w:rPr>
              <w:t>5.基于写实记录的表现性评价实施方式与策略研究。</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szCs w:val="21"/>
              </w:rPr>
            </w:pPr>
            <w:r>
              <w:rPr>
                <w:rFonts w:hint="eastAsia"/>
                <w:szCs w:val="21"/>
              </w:rPr>
              <w:t>在全面提升写实记录实效的基础上，在活动过程评价、活动成效评价、能力素质发展评价等领域探索表现性评价的实施方式与策略。重点围绕以下几方面展开：</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楷体" w:hAnsi="楷体" w:eastAsia="楷体" w:cs="楷体"/>
                <w:szCs w:val="21"/>
              </w:rPr>
            </w:pPr>
            <w:r>
              <w:rPr>
                <w:rFonts w:hint="eastAsia" w:ascii="楷体" w:hAnsi="楷体" w:eastAsia="楷体" w:cs="楷体"/>
              </w:rPr>
              <w:drawing>
                <wp:anchor distT="0" distB="0" distL="114300" distR="114300" simplePos="0" relativeHeight="251660288" behindDoc="0" locked="0" layoutInCell="1" allowOverlap="1">
                  <wp:simplePos x="0" y="0"/>
                  <wp:positionH relativeFrom="column">
                    <wp:posOffset>920750</wp:posOffset>
                  </wp:positionH>
                  <wp:positionV relativeFrom="paragraph">
                    <wp:posOffset>38100</wp:posOffset>
                  </wp:positionV>
                  <wp:extent cx="3528060" cy="1480185"/>
                  <wp:effectExtent l="12700" t="12700" r="21590" b="31115"/>
                  <wp:wrapTopAndBottom/>
                  <wp:docPr id="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pic:cNvPicPr>
                            <a:picLocks noChangeAspect="1"/>
                          </pic:cNvPicPr>
                        </pic:nvPicPr>
                        <pic:blipFill>
                          <a:blip r:embed="rId7">
                            <a:grayscl/>
                            <a:lum bright="-6000" contrast="6000"/>
                          </a:blip>
                          <a:stretch>
                            <a:fillRect/>
                          </a:stretch>
                        </pic:blipFill>
                        <pic:spPr>
                          <a:xfrm>
                            <a:off x="0" y="0"/>
                            <a:ext cx="3528060" cy="1480185"/>
                          </a:xfrm>
                          <a:prstGeom prst="rect">
                            <a:avLst/>
                          </a:prstGeom>
                          <a:noFill/>
                          <a:ln w="12700">
                            <a:solidFill>
                              <a:schemeClr val="bg1">
                                <a:lumMod val="85000"/>
                              </a:schemeClr>
                            </a:solidFill>
                          </a:ln>
                        </pic:spPr>
                      </pic:pic>
                    </a:graphicData>
                  </a:graphic>
                </wp:anchor>
              </w:drawing>
            </w:r>
            <w:r>
              <w:rPr>
                <w:rFonts w:hint="eastAsia" w:ascii="楷体" w:hAnsi="楷体" w:eastAsia="楷体" w:cs="楷体"/>
                <w:szCs w:val="21"/>
              </w:rPr>
              <w:t>⑴表现性评价在活动准备阶段、展开阶段、总结阶段的重点、内容与评价方式；</w:t>
            </w:r>
          </w:p>
          <w:p>
            <w:pPr>
              <w:keepNext w:val="0"/>
              <w:keepLines w:val="0"/>
              <w:pageBreakBefore w:val="0"/>
              <w:widowControl w:val="0"/>
              <w:kinsoku/>
              <w:wordWrap/>
              <w:overflowPunct/>
              <w:topLinePunct w:val="0"/>
              <w:autoSpaceDE/>
              <w:autoSpaceDN/>
              <w:bidi w:val="0"/>
              <w:adjustRightInd w:val="0"/>
              <w:snapToGrid w:val="0"/>
              <w:spacing w:line="380" w:lineRule="exact"/>
              <w:ind w:left="630" w:leftChars="200" w:hanging="210" w:hangingChars="100"/>
              <w:textAlignment w:val="auto"/>
              <w:rPr>
                <w:rFonts w:hint="eastAsia" w:ascii="楷体" w:hAnsi="楷体" w:eastAsia="楷体" w:cs="楷体"/>
                <w:szCs w:val="21"/>
              </w:rPr>
            </w:pPr>
            <w:r>
              <w:rPr>
                <w:rFonts w:hint="eastAsia" w:ascii="楷体" w:hAnsi="楷体" w:eastAsia="楷体" w:cs="楷体"/>
                <w:szCs w:val="21"/>
              </w:rPr>
              <w:t>⑵基于教（活动目标）—学（写实记录）—评（表现性评价任务与规则）一致性的表现性评价工具开发；</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楷体" w:hAnsi="楷体" w:eastAsia="楷体" w:cs="楷体"/>
                <w:szCs w:val="21"/>
              </w:rPr>
            </w:pPr>
            <w:r>
              <w:rPr>
                <w:rFonts w:hint="eastAsia" w:ascii="楷体" w:hAnsi="楷体" w:eastAsia="楷体" w:cs="楷体"/>
                <w:szCs w:val="21"/>
              </w:rPr>
              <w:t>⑶不同评价活动主体在写实记录与表现性评价中的角色定位、任务职责及活动方式；</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楷体" w:hAnsi="楷体" w:eastAsia="楷体" w:cs="楷体"/>
                <w:szCs w:val="21"/>
              </w:rPr>
            </w:pPr>
            <w:r>
              <w:rPr>
                <w:rFonts w:hint="eastAsia" w:ascii="楷体" w:hAnsi="楷体" w:eastAsia="楷体" w:cs="楷体"/>
                <w:szCs w:val="21"/>
              </w:rPr>
              <w:t>⑷学生评价相关意识、能力与技术等的培养与指导；</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楷体" w:hAnsi="楷体" w:eastAsia="楷体" w:cs="楷体"/>
                <w:szCs w:val="21"/>
              </w:rPr>
            </w:pPr>
            <w:r>
              <w:rPr>
                <w:rFonts w:hint="eastAsia" w:ascii="楷体" w:hAnsi="楷体" w:eastAsia="楷体" w:cs="楷体"/>
                <w:szCs w:val="21"/>
              </w:rPr>
              <w:t>⑸表现性评价结果的恰当呈现与积极反馈。</w:t>
            </w:r>
          </w:p>
          <w:p>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b/>
                <w:bCs/>
                <w:szCs w:val="21"/>
              </w:rPr>
            </w:pPr>
            <w:r>
              <w:rPr>
                <w:rFonts w:hint="eastAsia"/>
                <w:b/>
                <w:bCs/>
                <w:szCs w:val="21"/>
              </w:rPr>
              <w:t>研究重点：</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szCs w:val="21"/>
              </w:rPr>
            </w:pPr>
            <w:r>
              <w:rPr>
                <w:rFonts w:hint="eastAsia"/>
                <w:szCs w:val="21"/>
              </w:rPr>
              <w:t>本课题期望解决的是制约小学综合实践活动课程实施与发展的评价问题，解决问题的设想是在优化学生活动写实记录的基础上发挥表现性评价的作用与优势。因此，本课题的研究重点是研究内容4和5，即“综合实践活动写实记录的内容与形式的研究”和“基于写实记录的表现性评价实施方式与策略研究”。</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szCs w:val="21"/>
              </w:rPr>
            </w:pP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szCs w:val="21"/>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6" w:hRule="atLeast"/>
        </w:trPr>
        <w:tc>
          <w:tcPr>
            <w:tcW w:w="918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52" w:rightChars="-501"/>
              <w:jc w:val="both"/>
              <w:rPr>
                <w:rFonts w:hint="eastAsia" w:ascii="宋体" w:hAnsi="宋体"/>
                <w:b/>
                <w:sz w:val="24"/>
              </w:rPr>
            </w:pPr>
            <w:r>
              <w:rPr>
                <w:rFonts w:hint="eastAsia" w:ascii="宋体" w:hAnsi="宋体"/>
                <w:b/>
                <w:sz w:val="24"/>
              </w:rPr>
              <w:t>（四）研究的思路、过程与方法</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6" w:hRule="atLeast"/>
        </w:trPr>
        <w:tc>
          <w:tcPr>
            <w:tcW w:w="9180" w:type="dxa"/>
            <w:gridSpan w:val="4"/>
            <w:tcBorders>
              <w:top w:val="single" w:color="auto" w:sz="4" w:space="0"/>
              <w:left w:val="single" w:color="auto" w:sz="4" w:space="0"/>
              <w:bottom w:val="dotted" w:color="auto" w:sz="4" w:space="0"/>
              <w:right w:val="single" w:color="auto" w:sz="4" w:space="0"/>
            </w:tcBorders>
            <w:noWrap w:val="0"/>
            <w:vAlign w:val="top"/>
          </w:tcPr>
          <w:p>
            <w:pPr>
              <w:spacing w:line="360" w:lineRule="exact"/>
              <w:ind w:firstLine="422" w:firstLineChars="200"/>
              <w:rPr>
                <w:rFonts w:hint="eastAsia" w:ascii="宋体" w:hAnsi="宋体" w:cs="宋体"/>
                <w:szCs w:val="21"/>
              </w:rPr>
            </w:pPr>
            <w:r>
              <w:rPr>
                <w:rFonts w:hint="eastAsia" w:ascii="宋体" w:hAnsi="宋体" w:cs="宋体"/>
                <w:b/>
                <w:bCs/>
                <w:szCs w:val="21"/>
              </w:rPr>
              <w:t>研究思路：</w:t>
            </w:r>
          </w:p>
          <w:p>
            <w:pPr>
              <w:ind w:firstLine="420" w:firstLineChars="200"/>
              <w:rPr>
                <w:rFonts w:hint="eastAsia" w:ascii="宋体" w:hAnsi="宋体" w:cs="宋体"/>
                <w:szCs w:val="21"/>
              </w:rPr>
            </w:pPr>
            <w:r>
              <mc:AlternateContent>
                <mc:Choice Requires="wpg">
                  <w:drawing>
                    <wp:inline distT="0" distB="0" distL="114300" distR="114300">
                      <wp:extent cx="5184140" cy="3168015"/>
                      <wp:effectExtent l="4445" t="4445" r="12065" b="8890"/>
                      <wp:docPr id="30" name="组合 30"/>
                      <wp:cNvGraphicFramePr/>
                      <a:graphic xmlns:a="http://schemas.openxmlformats.org/drawingml/2006/main">
                        <a:graphicData uri="http://schemas.microsoft.com/office/word/2010/wordprocessingGroup">
                          <wpg:wgp>
                            <wpg:cNvGrpSpPr>
                              <a:grpSpLocks noRot="1"/>
                            </wpg:cNvGrpSpPr>
                            <wpg:grpSpPr>
                              <a:xfrm>
                                <a:off x="0" y="0"/>
                                <a:ext cx="5184140" cy="3168015"/>
                                <a:chOff x="2807" y="5177"/>
                                <a:chExt cx="9038" cy="5280"/>
                              </a:xfrm>
                            </wpg:grpSpPr>
                            <wps:wsp>
                              <wps:cNvPr id="1" name="文本框 1"/>
                              <wps:cNvSpPr txBox="1"/>
                              <wps:spPr>
                                <a:xfrm>
                                  <a:off x="5429" y="7646"/>
                                  <a:ext cx="3170" cy="68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spacing w:line="540" w:lineRule="auto"/>
                                      <w:jc w:val="center"/>
                                      <w:rPr>
                                        <w:rFonts w:hint="eastAsia" w:ascii="楷体" w:hAnsi="楷体" w:eastAsia="楷体" w:cs="楷体"/>
                                        <w:position w:val="-8"/>
                                        <w:szCs w:val="21"/>
                                      </w:rPr>
                                    </w:pPr>
                                    <w:r>
                                      <w:rPr>
                                        <w:rFonts w:hint="eastAsia" w:ascii="楷体" w:hAnsi="楷体" w:eastAsia="楷体" w:cs="楷体"/>
                                        <w:position w:val="-8"/>
                                        <w:szCs w:val="21"/>
                                      </w:rPr>
                                      <w:t>初步形成研究成果</w:t>
                                    </w:r>
                                  </w:p>
                                </w:txbxContent>
                              </wps:txbx>
                              <wps:bodyPr lIns="0" tIns="0" rIns="0" bIns="0" upright="1"/>
                            </wps:wsp>
                            <wps:wsp>
                              <wps:cNvPr id="2" name="文本框 2"/>
                              <wps:cNvSpPr txBox="1"/>
                              <wps:spPr>
                                <a:xfrm>
                                  <a:off x="5844" y="5177"/>
                                  <a:ext cx="2340" cy="68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spacing w:line="540" w:lineRule="auto"/>
                                      <w:jc w:val="center"/>
                                      <w:rPr>
                                        <w:rFonts w:hint="eastAsia" w:ascii="楷体" w:hAnsi="楷体" w:eastAsia="楷体" w:cs="楷体"/>
                                        <w:szCs w:val="21"/>
                                      </w:rPr>
                                    </w:pPr>
                                    <w:r>
                                      <w:rPr>
                                        <w:rFonts w:hint="eastAsia" w:ascii="楷体" w:hAnsi="楷体" w:eastAsia="楷体" w:cs="楷体"/>
                                        <w:position w:val="2"/>
                                        <w:szCs w:val="21"/>
                                      </w:rPr>
                                      <w:t>确立课题</w:t>
                                    </w:r>
                                  </w:p>
                                </w:txbxContent>
                              </wps:txbx>
                              <wps:bodyPr lIns="0" tIns="0" rIns="0" bIns="0" upright="1"/>
                            </wps:wsp>
                            <wps:wsp>
                              <wps:cNvPr id="3" name="文本框 3"/>
                              <wps:cNvSpPr txBox="1"/>
                              <wps:spPr>
                                <a:xfrm>
                                  <a:off x="5440" y="9777"/>
                                  <a:ext cx="3170" cy="68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spacing w:line="540" w:lineRule="auto"/>
                                      <w:jc w:val="center"/>
                                      <w:rPr>
                                        <w:rFonts w:hint="eastAsia" w:ascii="楷体" w:hAnsi="楷体" w:eastAsia="楷体" w:cs="楷体"/>
                                        <w:position w:val="-8"/>
                                        <w:sz w:val="24"/>
                                        <w:szCs w:val="32"/>
                                      </w:rPr>
                                    </w:pPr>
                                    <w:r>
                                      <w:rPr>
                                        <w:rFonts w:hint="eastAsia" w:ascii="楷体" w:hAnsi="楷体" w:eastAsia="楷体" w:cs="楷体"/>
                                        <w:position w:val="-8"/>
                                        <w:szCs w:val="21"/>
                                      </w:rPr>
                                      <w:t>研究成果修订、整合</w:t>
                                    </w:r>
                                  </w:p>
                                </w:txbxContent>
                              </wps:txbx>
                              <wps:bodyPr lIns="0" tIns="0" rIns="0" bIns="0" upright="1"/>
                            </wps:wsp>
                            <wps:wsp>
                              <wps:cNvPr id="4" name="文本框 4"/>
                              <wps:cNvSpPr txBox="1"/>
                              <wps:spPr>
                                <a:xfrm>
                                  <a:off x="3681" y="6144"/>
                                  <a:ext cx="1474" cy="454"/>
                                </a:xfrm>
                                <a:prstGeom prst="rect">
                                  <a:avLst/>
                                </a:prstGeom>
                                <a:solidFill>
                                  <a:srgbClr val="FFFFFF"/>
                                </a:solidFill>
                                <a:ln w="6350" cap="flat" cmpd="sng">
                                  <a:solidFill>
                                    <a:srgbClr val="000000"/>
                                  </a:solidFill>
                                  <a:prstDash val="solid"/>
                                  <a:round/>
                                  <a:headEnd type="none" w="med" len="med"/>
                                  <a:tailEnd type="none" w="med" len="med"/>
                                </a:ln>
                              </wps:spPr>
                              <wps:txbx>
                                <w:txbxContent>
                                  <w:p>
                                    <w:pPr>
                                      <w:spacing w:line="360" w:lineRule="auto"/>
                                      <w:jc w:val="center"/>
                                      <w:rPr>
                                        <w:rFonts w:hint="eastAsia" w:ascii="楷体" w:hAnsi="楷体" w:eastAsia="楷体" w:cs="楷体"/>
                                        <w:position w:val="-8"/>
                                        <w:szCs w:val="21"/>
                                      </w:rPr>
                                    </w:pPr>
                                    <w:r>
                                      <w:rPr>
                                        <w:rFonts w:hint="eastAsia" w:ascii="楷体" w:hAnsi="楷体" w:eastAsia="楷体" w:cs="楷体"/>
                                        <w:position w:val="-8"/>
                                        <w:szCs w:val="21"/>
                                      </w:rPr>
                                      <w:t>文献研究</w:t>
                                    </w:r>
                                  </w:p>
                                </w:txbxContent>
                              </wps:txbx>
                              <wps:bodyPr lIns="0" tIns="0" rIns="0" bIns="0" upright="1"/>
                            </wps:wsp>
                            <wps:wsp>
                              <wps:cNvPr id="5" name="文本框 5"/>
                              <wps:cNvSpPr txBox="1"/>
                              <wps:spPr>
                                <a:xfrm>
                                  <a:off x="6277" y="6155"/>
                                  <a:ext cx="1474" cy="454"/>
                                </a:xfrm>
                                <a:prstGeom prst="rect">
                                  <a:avLst/>
                                </a:prstGeom>
                                <a:solidFill>
                                  <a:srgbClr val="FFFFFF"/>
                                </a:solidFill>
                                <a:ln w="6350" cap="flat" cmpd="sng">
                                  <a:solidFill>
                                    <a:srgbClr val="000000"/>
                                  </a:solidFill>
                                  <a:prstDash val="solid"/>
                                  <a:round/>
                                  <a:headEnd type="none" w="med" len="med"/>
                                  <a:tailEnd type="none" w="med" len="med"/>
                                </a:ln>
                              </wps:spPr>
                              <wps:txbx>
                                <w:txbxContent>
                                  <w:p>
                                    <w:pPr>
                                      <w:spacing w:line="360" w:lineRule="auto"/>
                                      <w:jc w:val="center"/>
                                      <w:rPr>
                                        <w:rFonts w:hint="eastAsia" w:ascii="楷体" w:hAnsi="楷体" w:eastAsia="楷体" w:cs="楷体"/>
                                        <w:position w:val="-8"/>
                                        <w:szCs w:val="21"/>
                                      </w:rPr>
                                    </w:pPr>
                                    <w:r>
                                      <w:rPr>
                                        <w:rFonts w:hint="eastAsia" w:ascii="楷体" w:hAnsi="楷体" w:eastAsia="楷体" w:cs="楷体"/>
                                        <w:position w:val="-8"/>
                                        <w:szCs w:val="21"/>
                                      </w:rPr>
                                      <w:t>调查分析</w:t>
                                    </w:r>
                                  </w:p>
                                </w:txbxContent>
                              </wps:txbx>
                              <wps:bodyPr lIns="0" tIns="0" rIns="0" bIns="0" upright="1"/>
                            </wps:wsp>
                            <wps:wsp>
                              <wps:cNvPr id="6" name="文本框 6"/>
                              <wps:cNvSpPr txBox="1"/>
                              <wps:spPr>
                                <a:xfrm>
                                  <a:off x="8854" y="6167"/>
                                  <a:ext cx="1474" cy="454"/>
                                </a:xfrm>
                                <a:prstGeom prst="rect">
                                  <a:avLst/>
                                </a:prstGeom>
                                <a:solidFill>
                                  <a:srgbClr val="FFFFFF"/>
                                </a:solidFill>
                                <a:ln w="6350" cap="flat" cmpd="sng">
                                  <a:solidFill>
                                    <a:srgbClr val="000000"/>
                                  </a:solidFill>
                                  <a:prstDash val="solid"/>
                                  <a:round/>
                                  <a:headEnd type="none" w="med" len="med"/>
                                  <a:tailEnd type="none" w="med" len="med"/>
                                </a:ln>
                              </wps:spPr>
                              <wps:txbx>
                                <w:txbxContent>
                                  <w:p>
                                    <w:pPr>
                                      <w:spacing w:line="360" w:lineRule="auto"/>
                                      <w:jc w:val="center"/>
                                      <w:rPr>
                                        <w:rFonts w:hint="eastAsia" w:ascii="楷体" w:hAnsi="楷体" w:eastAsia="楷体" w:cs="楷体"/>
                                        <w:position w:val="-8"/>
                                        <w:szCs w:val="21"/>
                                      </w:rPr>
                                    </w:pPr>
                                    <w:r>
                                      <w:rPr>
                                        <w:rFonts w:hint="eastAsia" w:ascii="楷体" w:hAnsi="楷体" w:eastAsia="楷体" w:cs="楷体"/>
                                        <w:position w:val="-8"/>
                                        <w:szCs w:val="21"/>
                                      </w:rPr>
                                      <w:t>行动研究</w:t>
                                    </w:r>
                                  </w:p>
                                </w:txbxContent>
                              </wps:txbx>
                              <wps:bodyPr lIns="0" tIns="0" rIns="0" bIns="0" upright="1"/>
                            </wps:wsp>
                            <wps:wsp>
                              <wps:cNvPr id="7" name="文本框 7"/>
                              <wps:cNvSpPr txBox="1"/>
                              <wps:spPr>
                                <a:xfrm>
                                  <a:off x="3349" y="6895"/>
                                  <a:ext cx="2154" cy="454"/>
                                </a:xfrm>
                                <a:prstGeom prst="rect">
                                  <a:avLst/>
                                </a:prstGeom>
                                <a:solidFill>
                                  <a:srgbClr val="FFFFFF"/>
                                </a:solidFill>
                                <a:ln w="6350" cap="flat" cmpd="sng">
                                  <a:solidFill>
                                    <a:srgbClr val="000000"/>
                                  </a:solidFill>
                                  <a:prstDash val="solid"/>
                                  <a:round/>
                                  <a:headEnd type="none" w="med" len="med"/>
                                  <a:tailEnd type="none" w="med" len="med"/>
                                </a:ln>
                              </wps:spPr>
                              <wps:txbx>
                                <w:txbxContent>
                                  <w:p>
                                    <w:pPr>
                                      <w:spacing w:line="360" w:lineRule="auto"/>
                                      <w:jc w:val="center"/>
                                      <w:rPr>
                                        <w:rFonts w:hint="eastAsia" w:ascii="楷体" w:hAnsi="楷体" w:eastAsia="楷体" w:cs="楷体"/>
                                        <w:position w:val="-8"/>
                                        <w:szCs w:val="21"/>
                                      </w:rPr>
                                    </w:pPr>
                                    <w:r>
                                      <w:rPr>
                                        <w:rFonts w:hint="eastAsia" w:ascii="楷体" w:hAnsi="楷体" w:eastAsia="楷体" w:cs="楷体"/>
                                        <w:position w:val="-8"/>
                                        <w:szCs w:val="21"/>
                                      </w:rPr>
                                      <w:t>本质、原理、机制</w:t>
                                    </w:r>
                                  </w:p>
                                </w:txbxContent>
                              </wps:txbx>
                              <wps:bodyPr lIns="0" tIns="0" rIns="0" bIns="0" upright="1"/>
                            </wps:wsp>
                            <wps:wsp>
                              <wps:cNvPr id="8" name="文本框 8"/>
                              <wps:cNvSpPr txBox="1"/>
                              <wps:spPr>
                                <a:xfrm>
                                  <a:off x="5948" y="6895"/>
                                  <a:ext cx="2154" cy="454"/>
                                </a:xfrm>
                                <a:prstGeom prst="rect">
                                  <a:avLst/>
                                </a:prstGeom>
                                <a:solidFill>
                                  <a:srgbClr val="FFFFFF"/>
                                </a:solidFill>
                                <a:ln w="6350" cap="flat" cmpd="sng">
                                  <a:solidFill>
                                    <a:srgbClr val="000000"/>
                                  </a:solidFill>
                                  <a:prstDash val="solid"/>
                                  <a:round/>
                                  <a:headEnd type="none" w="med" len="med"/>
                                  <a:tailEnd type="none" w="med" len="med"/>
                                </a:ln>
                              </wps:spPr>
                              <wps:txbx>
                                <w:txbxContent>
                                  <w:p>
                                    <w:pPr>
                                      <w:spacing w:line="360" w:lineRule="auto"/>
                                      <w:jc w:val="center"/>
                                      <w:rPr>
                                        <w:rFonts w:hint="eastAsia" w:ascii="楷体" w:hAnsi="楷体" w:eastAsia="楷体" w:cs="楷体"/>
                                        <w:position w:val="-8"/>
                                        <w:sz w:val="24"/>
                                        <w:szCs w:val="32"/>
                                      </w:rPr>
                                    </w:pPr>
                                    <w:r>
                                      <w:rPr>
                                        <w:rFonts w:hint="eastAsia" w:ascii="楷体" w:hAnsi="楷体" w:eastAsia="楷体" w:cs="楷体"/>
                                        <w:position w:val="-8"/>
                                        <w:szCs w:val="21"/>
                                      </w:rPr>
                                      <w:t>现状、问题、需求</w:t>
                                    </w:r>
                                  </w:p>
                                </w:txbxContent>
                              </wps:txbx>
                              <wps:bodyPr lIns="0" tIns="0" rIns="0" bIns="0" upright="1"/>
                            </wps:wsp>
                            <wps:wsp>
                              <wps:cNvPr id="9" name="文本框 9"/>
                              <wps:cNvSpPr txBox="1"/>
                              <wps:spPr>
                                <a:xfrm>
                                  <a:off x="8533" y="6905"/>
                                  <a:ext cx="2154" cy="454"/>
                                </a:xfrm>
                                <a:prstGeom prst="rect">
                                  <a:avLst/>
                                </a:prstGeom>
                                <a:solidFill>
                                  <a:srgbClr val="FFFFFF"/>
                                </a:solidFill>
                                <a:ln w="6350" cap="flat" cmpd="sng">
                                  <a:solidFill>
                                    <a:srgbClr val="000000"/>
                                  </a:solidFill>
                                  <a:prstDash val="solid"/>
                                  <a:round/>
                                  <a:headEnd type="none" w="med" len="med"/>
                                  <a:tailEnd type="none" w="med" len="med"/>
                                </a:ln>
                              </wps:spPr>
                              <wps:txbx>
                                <w:txbxContent>
                                  <w:p>
                                    <w:pPr>
                                      <w:spacing w:line="360" w:lineRule="auto"/>
                                      <w:jc w:val="center"/>
                                      <w:rPr>
                                        <w:rFonts w:hint="eastAsia" w:ascii="楷体" w:hAnsi="楷体" w:eastAsia="楷体" w:cs="楷体"/>
                                        <w:position w:val="-8"/>
                                        <w:szCs w:val="21"/>
                                      </w:rPr>
                                    </w:pPr>
                                    <w:r>
                                      <w:rPr>
                                        <w:rFonts w:hint="eastAsia" w:ascii="楷体" w:hAnsi="楷体" w:eastAsia="楷体" w:cs="楷体"/>
                                        <w:position w:val="-8"/>
                                        <w:szCs w:val="21"/>
                                      </w:rPr>
                                      <w:t>目标、内容、策略</w:t>
                                    </w:r>
                                  </w:p>
                                </w:txbxContent>
                              </wps:txbx>
                              <wps:bodyPr lIns="0" tIns="0" rIns="0" bIns="0" upright="1"/>
                            </wps:wsp>
                            <wps:wsp>
                              <wps:cNvPr id="10" name="文本框 10"/>
                              <wps:cNvSpPr txBox="1"/>
                              <wps:spPr>
                                <a:xfrm>
                                  <a:off x="2807" y="8834"/>
                                  <a:ext cx="1928" cy="454"/>
                                </a:xfrm>
                                <a:prstGeom prst="rect">
                                  <a:avLst/>
                                </a:prstGeom>
                                <a:solidFill>
                                  <a:srgbClr val="FFFFFF"/>
                                </a:solidFill>
                                <a:ln w="6350" cap="flat" cmpd="sng">
                                  <a:solidFill>
                                    <a:srgbClr val="000000"/>
                                  </a:solidFill>
                                  <a:prstDash val="solid"/>
                                  <a:round/>
                                  <a:headEnd type="none" w="med" len="med"/>
                                  <a:tailEnd type="none" w="med" len="med"/>
                                </a:ln>
                              </wps:spPr>
                              <wps:txbx>
                                <w:txbxContent>
                                  <w:p>
                                    <w:pPr>
                                      <w:spacing w:line="360" w:lineRule="auto"/>
                                      <w:jc w:val="center"/>
                                      <w:rPr>
                                        <w:rFonts w:hint="eastAsia" w:ascii="楷体" w:hAnsi="楷体" w:eastAsia="楷体" w:cs="楷体"/>
                                        <w:position w:val="-8"/>
                                        <w:szCs w:val="21"/>
                                      </w:rPr>
                                    </w:pPr>
                                    <w:r>
                                      <w:rPr>
                                        <w:rFonts w:hint="eastAsia" w:ascii="楷体" w:hAnsi="楷体" w:eastAsia="楷体" w:cs="楷体"/>
                                        <w:position w:val="-8"/>
                                        <w:szCs w:val="21"/>
                                      </w:rPr>
                                      <w:t>表现目标体系</w:t>
                                    </w:r>
                                  </w:p>
                                </w:txbxContent>
                              </wps:txbx>
                              <wps:bodyPr lIns="0" tIns="0" rIns="0" bIns="0" upright="1"/>
                            </wps:wsp>
                            <wps:wsp>
                              <wps:cNvPr id="11" name="文本框 11"/>
                              <wps:cNvSpPr txBox="1"/>
                              <wps:spPr>
                                <a:xfrm>
                                  <a:off x="5000" y="8834"/>
                                  <a:ext cx="1928" cy="454"/>
                                </a:xfrm>
                                <a:prstGeom prst="rect">
                                  <a:avLst/>
                                </a:prstGeom>
                                <a:solidFill>
                                  <a:srgbClr val="FFFFFF"/>
                                </a:solidFill>
                                <a:ln w="6350" cap="flat" cmpd="sng">
                                  <a:solidFill>
                                    <a:srgbClr val="000000"/>
                                  </a:solidFill>
                                  <a:prstDash val="solid"/>
                                  <a:round/>
                                  <a:headEnd type="none" w="med" len="med"/>
                                  <a:tailEnd type="none" w="med" len="med"/>
                                </a:ln>
                              </wps:spPr>
                              <wps:txbx>
                                <w:txbxContent>
                                  <w:p>
                                    <w:pPr>
                                      <w:spacing w:line="360" w:lineRule="auto"/>
                                      <w:jc w:val="center"/>
                                      <w:rPr>
                                        <w:rFonts w:hint="eastAsia" w:ascii="楷体" w:hAnsi="楷体" w:eastAsia="楷体" w:cs="楷体"/>
                                        <w:position w:val="-8"/>
                                        <w:szCs w:val="21"/>
                                      </w:rPr>
                                    </w:pPr>
                                    <w:r>
                                      <w:rPr>
                                        <w:rFonts w:hint="eastAsia" w:ascii="楷体" w:hAnsi="楷体" w:eastAsia="楷体" w:cs="楷体"/>
                                        <w:position w:val="-8"/>
                                        <w:szCs w:val="21"/>
                                      </w:rPr>
                                      <w:t>写实记录工具</w:t>
                                    </w:r>
                                  </w:p>
                                </w:txbxContent>
                              </wps:txbx>
                              <wps:bodyPr lIns="0" tIns="0" rIns="0" bIns="0" upright="1"/>
                            </wps:wsp>
                            <wps:wsp>
                              <wps:cNvPr id="12" name="文本框 12"/>
                              <wps:cNvSpPr txBox="1"/>
                              <wps:spPr>
                                <a:xfrm>
                                  <a:off x="7194" y="8834"/>
                                  <a:ext cx="1928" cy="454"/>
                                </a:xfrm>
                                <a:prstGeom prst="rect">
                                  <a:avLst/>
                                </a:prstGeom>
                                <a:solidFill>
                                  <a:srgbClr val="FFFFFF"/>
                                </a:solidFill>
                                <a:ln w="6350" cap="flat" cmpd="sng">
                                  <a:solidFill>
                                    <a:srgbClr val="000000"/>
                                  </a:solidFill>
                                  <a:prstDash val="solid"/>
                                  <a:round/>
                                  <a:headEnd type="none" w="med" len="med"/>
                                  <a:tailEnd type="none" w="med" len="med"/>
                                </a:ln>
                              </wps:spPr>
                              <wps:txbx>
                                <w:txbxContent>
                                  <w:p>
                                    <w:pPr>
                                      <w:spacing w:line="360" w:lineRule="auto"/>
                                      <w:jc w:val="center"/>
                                      <w:rPr>
                                        <w:rFonts w:hint="eastAsia" w:ascii="楷体" w:hAnsi="楷体" w:eastAsia="楷体" w:cs="楷体"/>
                                        <w:position w:val="-8"/>
                                        <w:szCs w:val="21"/>
                                      </w:rPr>
                                    </w:pPr>
                                    <w:r>
                                      <w:rPr>
                                        <w:rFonts w:hint="eastAsia" w:ascii="楷体" w:hAnsi="楷体" w:eastAsia="楷体" w:cs="楷体"/>
                                        <w:position w:val="-8"/>
                                        <w:szCs w:val="21"/>
                                      </w:rPr>
                                      <w:t>表现性评价策略</w:t>
                                    </w:r>
                                  </w:p>
                                </w:txbxContent>
                              </wps:txbx>
                              <wps:bodyPr lIns="0" tIns="0" rIns="0" bIns="0" upright="1"/>
                            </wps:wsp>
                            <wps:wsp>
                              <wps:cNvPr id="13" name="文本框 13"/>
                              <wps:cNvSpPr txBox="1"/>
                              <wps:spPr>
                                <a:xfrm>
                                  <a:off x="9351" y="8845"/>
                                  <a:ext cx="2494" cy="454"/>
                                </a:xfrm>
                                <a:prstGeom prst="rect">
                                  <a:avLst/>
                                </a:prstGeom>
                                <a:solidFill>
                                  <a:srgbClr val="FFFFFF"/>
                                </a:solidFill>
                                <a:ln w="6350" cap="flat" cmpd="sng">
                                  <a:solidFill>
                                    <a:srgbClr val="000000"/>
                                  </a:solidFill>
                                  <a:prstDash val="solid"/>
                                  <a:round/>
                                  <a:headEnd type="none" w="med" len="med"/>
                                  <a:tailEnd type="none" w="med" len="med"/>
                                </a:ln>
                              </wps:spPr>
                              <wps:txbx>
                                <w:txbxContent>
                                  <w:p>
                                    <w:pPr>
                                      <w:spacing w:line="360" w:lineRule="auto"/>
                                      <w:jc w:val="center"/>
                                      <w:rPr>
                                        <w:rFonts w:hint="eastAsia" w:ascii="楷体" w:hAnsi="楷体" w:eastAsia="楷体" w:cs="楷体"/>
                                        <w:position w:val="-8"/>
                                        <w:szCs w:val="21"/>
                                      </w:rPr>
                                    </w:pPr>
                                    <w:r>
                                      <w:rPr>
                                        <w:rFonts w:hint="eastAsia" w:ascii="楷体" w:hAnsi="楷体" w:eastAsia="楷体" w:cs="楷体"/>
                                        <w:position w:val="-8"/>
                                        <w:szCs w:val="21"/>
                                      </w:rPr>
                                      <w:t>结果呈现与反馈机制</w:t>
                                    </w:r>
                                  </w:p>
                                </w:txbxContent>
                              </wps:txbx>
                              <wps:bodyPr lIns="0" tIns="0" rIns="0" bIns="0" upright="1"/>
                            </wps:wsp>
                            <wps:wsp>
                              <wps:cNvPr id="14" name="肘形连接符 14"/>
                              <wps:cNvCnPr>
                                <a:stCxn id="2" idx="1"/>
                                <a:endCxn id="4" idx="0"/>
                              </wps:cNvCnPr>
                              <wps:spPr>
                                <a:xfrm rot="-10800000" flipV="1">
                                  <a:off x="4418" y="5517"/>
                                  <a:ext cx="1426" cy="627"/>
                                </a:xfrm>
                                <a:prstGeom prst="bentConnector2">
                                  <a:avLst/>
                                </a:prstGeom>
                                <a:ln w="9525" cap="flat" cmpd="sng">
                                  <a:solidFill>
                                    <a:srgbClr val="000000"/>
                                  </a:solidFill>
                                  <a:prstDash val="solid"/>
                                  <a:round/>
                                  <a:headEnd type="none" w="med" len="med"/>
                                  <a:tailEnd type="triangle" w="sm" len="med"/>
                                </a:ln>
                              </wps:spPr>
                              <wps:bodyPr/>
                            </wps:wsp>
                            <wps:wsp>
                              <wps:cNvPr id="15" name="肘形连接符 15"/>
                              <wps:cNvCnPr>
                                <a:stCxn id="2" idx="3"/>
                                <a:endCxn id="6" idx="0"/>
                              </wps:cNvCnPr>
                              <wps:spPr>
                                <a:xfrm>
                                  <a:off x="8184" y="5517"/>
                                  <a:ext cx="1407" cy="650"/>
                                </a:xfrm>
                                <a:prstGeom prst="bentConnector2">
                                  <a:avLst/>
                                </a:prstGeom>
                                <a:ln w="9525" cap="flat" cmpd="sng">
                                  <a:solidFill>
                                    <a:srgbClr val="000000"/>
                                  </a:solidFill>
                                  <a:prstDash val="solid"/>
                                  <a:round/>
                                  <a:headEnd type="none" w="med" len="med"/>
                                  <a:tailEnd type="triangle" w="sm" len="med"/>
                                </a:ln>
                              </wps:spPr>
                              <wps:bodyPr/>
                            </wps:wsp>
                            <wps:wsp>
                              <wps:cNvPr id="16" name="直接箭头连接符 16"/>
                              <wps:cNvCnPr>
                                <a:stCxn id="2" idx="2"/>
                                <a:endCxn id="5" idx="0"/>
                              </wps:cNvCnPr>
                              <wps:spPr>
                                <a:xfrm>
                                  <a:off x="7014" y="5857"/>
                                  <a:ext cx="0" cy="298"/>
                                </a:xfrm>
                                <a:prstGeom prst="straightConnector1">
                                  <a:avLst/>
                                </a:prstGeom>
                                <a:ln w="9525" cap="flat" cmpd="sng">
                                  <a:solidFill>
                                    <a:srgbClr val="000000"/>
                                  </a:solidFill>
                                  <a:prstDash val="solid"/>
                                  <a:headEnd type="none" w="med" len="med"/>
                                  <a:tailEnd type="triangle" w="sm" len="med"/>
                                </a:ln>
                              </wps:spPr>
                              <wps:bodyPr/>
                            </wps:wsp>
                            <wps:wsp>
                              <wps:cNvPr id="17" name="直接箭头连接符 17"/>
                              <wps:cNvCnPr>
                                <a:stCxn id="2" idx="2"/>
                                <a:endCxn id="5" idx="0"/>
                              </wps:cNvCnPr>
                              <wps:spPr>
                                <a:xfrm>
                                  <a:off x="4428" y="6600"/>
                                  <a:ext cx="0" cy="298"/>
                                </a:xfrm>
                                <a:prstGeom prst="straightConnector1">
                                  <a:avLst/>
                                </a:prstGeom>
                                <a:ln w="9525" cap="flat" cmpd="sng">
                                  <a:solidFill>
                                    <a:srgbClr val="000000"/>
                                  </a:solidFill>
                                  <a:prstDash val="solid"/>
                                  <a:headEnd type="none" w="med" len="med"/>
                                  <a:tailEnd type="triangle" w="sm" len="med"/>
                                </a:ln>
                              </wps:spPr>
                              <wps:bodyPr/>
                            </wps:wsp>
                            <wps:wsp>
                              <wps:cNvPr id="18" name="直接箭头连接符 18"/>
                              <wps:cNvCnPr>
                                <a:stCxn id="2" idx="2"/>
                                <a:endCxn id="5" idx="0"/>
                              </wps:cNvCnPr>
                              <wps:spPr>
                                <a:xfrm>
                                  <a:off x="7015" y="6609"/>
                                  <a:ext cx="0" cy="298"/>
                                </a:xfrm>
                                <a:prstGeom prst="straightConnector1">
                                  <a:avLst/>
                                </a:prstGeom>
                                <a:ln w="9525" cap="flat" cmpd="sng">
                                  <a:solidFill>
                                    <a:srgbClr val="000000"/>
                                  </a:solidFill>
                                  <a:prstDash val="solid"/>
                                  <a:headEnd type="none" w="med" len="med"/>
                                  <a:tailEnd type="triangle" w="sm" len="med"/>
                                </a:ln>
                              </wps:spPr>
                              <wps:bodyPr/>
                            </wps:wsp>
                            <wps:wsp>
                              <wps:cNvPr id="19" name="直接箭头连接符 19"/>
                              <wps:cNvCnPr>
                                <a:stCxn id="2" idx="2"/>
                                <a:endCxn id="5" idx="0"/>
                              </wps:cNvCnPr>
                              <wps:spPr>
                                <a:xfrm>
                                  <a:off x="9592" y="6618"/>
                                  <a:ext cx="0" cy="298"/>
                                </a:xfrm>
                                <a:prstGeom prst="straightConnector1">
                                  <a:avLst/>
                                </a:prstGeom>
                                <a:ln w="9525" cap="flat" cmpd="sng">
                                  <a:solidFill>
                                    <a:srgbClr val="000000"/>
                                  </a:solidFill>
                                  <a:prstDash val="solid"/>
                                  <a:headEnd type="none" w="med" len="med"/>
                                  <a:tailEnd type="triangle" w="sm" len="med"/>
                                </a:ln>
                              </wps:spPr>
                              <wps:bodyPr/>
                            </wps:wsp>
                            <wps:wsp>
                              <wps:cNvPr id="20" name="直接箭头连接符 20"/>
                              <wps:cNvCnPr>
                                <a:stCxn id="2" idx="2"/>
                                <a:endCxn id="5" idx="0"/>
                              </wps:cNvCnPr>
                              <wps:spPr>
                                <a:xfrm>
                                  <a:off x="5957" y="8583"/>
                                  <a:ext cx="0" cy="255"/>
                                </a:xfrm>
                                <a:prstGeom prst="straightConnector1">
                                  <a:avLst/>
                                </a:prstGeom>
                                <a:ln w="9525" cap="flat" cmpd="sng">
                                  <a:solidFill>
                                    <a:srgbClr val="000000"/>
                                  </a:solidFill>
                                  <a:prstDash val="solid"/>
                                  <a:headEnd type="none" w="med" len="med"/>
                                  <a:tailEnd type="triangle" w="sm" len="med"/>
                                </a:ln>
                              </wps:spPr>
                              <wps:bodyPr/>
                            </wps:wsp>
                            <wps:wsp>
                              <wps:cNvPr id="21" name="肘形连接符 21"/>
                              <wps:cNvCnPr>
                                <a:stCxn id="9" idx="2"/>
                                <a:endCxn id="1" idx="3"/>
                              </wps:cNvCnPr>
                              <wps:spPr>
                                <a:xfrm rot="5400000">
                                  <a:off x="8786" y="7161"/>
                                  <a:ext cx="627" cy="1011"/>
                                </a:xfrm>
                                <a:prstGeom prst="bentConnector2">
                                  <a:avLst/>
                                </a:prstGeom>
                                <a:ln w="9525" cap="flat" cmpd="sng">
                                  <a:solidFill>
                                    <a:srgbClr val="000000"/>
                                  </a:solidFill>
                                  <a:prstDash val="solid"/>
                                  <a:round/>
                                  <a:headEnd type="none" w="med" len="med"/>
                                  <a:tailEnd type="triangle" w="sm" len="med"/>
                                </a:ln>
                              </wps:spPr>
                              <wps:bodyPr/>
                            </wps:wsp>
                            <wps:wsp>
                              <wps:cNvPr id="22" name="肘形连接符 22"/>
                              <wps:cNvCnPr>
                                <a:stCxn id="7" idx="2"/>
                                <a:endCxn id="1" idx="1"/>
                              </wps:cNvCnPr>
                              <wps:spPr>
                                <a:xfrm rot="5400000" flipV="1">
                                  <a:off x="4604" y="7160"/>
                                  <a:ext cx="637" cy="1003"/>
                                </a:xfrm>
                                <a:prstGeom prst="bentConnector2">
                                  <a:avLst/>
                                </a:prstGeom>
                                <a:ln w="9525" cap="flat" cmpd="sng">
                                  <a:solidFill>
                                    <a:srgbClr val="000000"/>
                                  </a:solidFill>
                                  <a:prstDash val="solid"/>
                                  <a:round/>
                                  <a:headEnd type="none" w="med" len="med"/>
                                  <a:tailEnd type="triangle" w="sm" len="med"/>
                                </a:ln>
                              </wps:spPr>
                              <wps:bodyPr/>
                            </wps:wsp>
                            <wps:wsp>
                              <wps:cNvPr id="23" name="肘形连接符 23"/>
                              <wps:cNvCnPr>
                                <a:stCxn id="10" idx="0"/>
                                <a:endCxn id="13" idx="0"/>
                              </wps:cNvCnPr>
                              <wps:spPr>
                                <a:xfrm rot="-5400000" flipH="1">
                                  <a:off x="7174" y="5421"/>
                                  <a:ext cx="11" cy="6827"/>
                                </a:xfrm>
                                <a:prstGeom prst="bentConnector3">
                                  <a:avLst>
                                    <a:gd name="adj1" fmla="val -2427273"/>
                                  </a:avLst>
                                </a:prstGeom>
                                <a:ln w="9525" cap="flat" cmpd="sng">
                                  <a:solidFill>
                                    <a:srgbClr val="000000"/>
                                  </a:solidFill>
                                  <a:prstDash val="solid"/>
                                  <a:round/>
                                  <a:headEnd type="triangle" w="sm" len="med"/>
                                  <a:tailEnd type="triangle" w="sm" len="med"/>
                                </a:ln>
                              </wps:spPr>
                              <wps:bodyPr/>
                            </wps:wsp>
                            <wps:wsp>
                              <wps:cNvPr id="24" name="直接箭头连接符 24"/>
                              <wps:cNvCnPr>
                                <a:stCxn id="10" idx="0"/>
                                <a:endCxn id="13" idx="0"/>
                              </wps:cNvCnPr>
                              <wps:spPr>
                                <a:xfrm>
                                  <a:off x="7018" y="8330"/>
                                  <a:ext cx="0" cy="255"/>
                                </a:xfrm>
                                <a:prstGeom prst="straightConnector1">
                                  <a:avLst/>
                                </a:prstGeom>
                                <a:ln w="9525" cap="flat" cmpd="sng">
                                  <a:solidFill>
                                    <a:srgbClr val="000000"/>
                                  </a:solidFill>
                                  <a:prstDash val="solid"/>
                                  <a:headEnd type="none" w="med" len="med"/>
                                  <a:tailEnd type="triangle" w="sm" len="med"/>
                                </a:ln>
                              </wps:spPr>
                              <wps:bodyPr/>
                            </wps:wsp>
                            <wps:wsp>
                              <wps:cNvPr id="25" name="直接箭头连接符 25"/>
                              <wps:cNvCnPr>
                                <a:stCxn id="10" idx="0"/>
                                <a:endCxn id="13" idx="0"/>
                              </wps:cNvCnPr>
                              <wps:spPr>
                                <a:xfrm>
                                  <a:off x="8155" y="8576"/>
                                  <a:ext cx="0" cy="255"/>
                                </a:xfrm>
                                <a:prstGeom prst="straightConnector1">
                                  <a:avLst/>
                                </a:prstGeom>
                                <a:ln w="9525" cap="flat" cmpd="sng">
                                  <a:solidFill>
                                    <a:srgbClr val="000000"/>
                                  </a:solidFill>
                                  <a:prstDash val="solid"/>
                                  <a:headEnd type="none" w="med" len="med"/>
                                  <a:tailEnd type="triangle" w="sm" len="med"/>
                                </a:ln>
                              </wps:spPr>
                              <wps:bodyPr/>
                            </wps:wsp>
                            <wps:wsp>
                              <wps:cNvPr id="26" name="肘形连接符 26"/>
                              <wps:cNvCnPr>
                                <a:stCxn id="10" idx="2"/>
                                <a:endCxn id="13" idx="2"/>
                              </wps:cNvCnPr>
                              <wps:spPr>
                                <a:xfrm rot="5400000" flipV="1">
                                  <a:off x="7174" y="5875"/>
                                  <a:ext cx="11" cy="6827"/>
                                </a:xfrm>
                                <a:prstGeom prst="bentConnector3">
                                  <a:avLst>
                                    <a:gd name="adj1" fmla="val 2090907"/>
                                  </a:avLst>
                                </a:prstGeom>
                                <a:ln w="9525" cap="flat" cmpd="sng">
                                  <a:solidFill>
                                    <a:srgbClr val="000000"/>
                                  </a:solidFill>
                                  <a:prstDash val="solid"/>
                                  <a:round/>
                                  <a:headEnd type="none" w="med" len="med"/>
                                  <a:tailEnd type="none" w="med" len="med"/>
                                </a:ln>
                              </wps:spPr>
                              <wps:bodyPr/>
                            </wps:wsp>
                            <wps:wsp>
                              <wps:cNvPr id="27" name="直接箭头连接符 27"/>
                              <wps:cNvCnPr>
                                <a:stCxn id="10" idx="2"/>
                                <a:endCxn id="13" idx="2"/>
                              </wps:cNvCnPr>
                              <wps:spPr>
                                <a:xfrm>
                                  <a:off x="7046" y="9529"/>
                                  <a:ext cx="0" cy="255"/>
                                </a:xfrm>
                                <a:prstGeom prst="straightConnector1">
                                  <a:avLst/>
                                </a:prstGeom>
                                <a:ln w="9525" cap="flat" cmpd="sng">
                                  <a:solidFill>
                                    <a:srgbClr val="000000"/>
                                  </a:solidFill>
                                  <a:prstDash val="solid"/>
                                  <a:headEnd type="none" w="med" len="med"/>
                                  <a:tailEnd type="triangle" w="sm" len="med"/>
                                </a:ln>
                              </wps:spPr>
                              <wps:bodyPr/>
                            </wps:wsp>
                            <wps:wsp>
                              <wps:cNvPr id="28" name="直接连接符 28"/>
                              <wps:cNvCnPr/>
                              <wps:spPr>
                                <a:xfrm>
                                  <a:off x="5964" y="9295"/>
                                  <a:ext cx="1" cy="227"/>
                                </a:xfrm>
                                <a:prstGeom prst="line">
                                  <a:avLst/>
                                </a:prstGeom>
                                <a:ln w="9525" cap="flat" cmpd="sng">
                                  <a:solidFill>
                                    <a:srgbClr val="000000"/>
                                  </a:solidFill>
                                  <a:prstDash val="solid"/>
                                  <a:headEnd type="none" w="med" len="med"/>
                                  <a:tailEnd type="none" w="med" len="med"/>
                                </a:ln>
                              </wps:spPr>
                              <wps:bodyPr upright="1"/>
                            </wps:wsp>
                            <wps:wsp>
                              <wps:cNvPr id="29" name="直接连接符 29"/>
                              <wps:cNvCnPr/>
                              <wps:spPr>
                                <a:xfrm>
                                  <a:off x="8154" y="9295"/>
                                  <a:ext cx="1" cy="227"/>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249.45pt;width:408.2pt;" coordorigin="2807,5177" coordsize="9038,5280" o:gfxdata="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">
                      <o:lock v:ext="edit" rotation="t" aspectratio="f"/>
                      <v:shape id="_x0000_s1026" o:spid="_x0000_s1026" o:spt="202" type="#_x0000_t202" style="position:absolute;left:5429;top:7646;height:680;width:3170;" fillcolor="#FFFFFF" filled="t" stroked="t" coordsize="21600,21600" o:gfxdata="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2OHM7gAAADaAAAA&#10;DwAAAAAAAAABACAAAAAiAAAAZHJzL2Rvd25yZXYueG1sUEsBAhQAFAAAAAgAh07iQDMvBZ47AAAA&#10;OQAAABAAAAAAAAAAAQAgAAAABwEAAGRycy9zaGFwZXhtbC54bWxQSwUGAAAAAAYABgBbAQAAsQMA&#10;AAAA&#10;">
                        <v:fill on="t" focussize="0,0"/>
                        <v:stroke weight="0.5pt" color="#000000" joinstyle="round"/>
                        <v:imagedata o:title=""/>
                        <o:lock v:ext="edit" aspectratio="f"/>
                        <v:textbox inset="0mm,0mm,0mm,0mm">
                          <w:txbxContent>
                            <w:p>
                              <w:pPr>
                                <w:spacing w:line="540" w:lineRule="auto"/>
                                <w:jc w:val="center"/>
                                <w:rPr>
                                  <w:rFonts w:hint="eastAsia" w:ascii="楷体" w:hAnsi="楷体" w:eastAsia="楷体" w:cs="楷体"/>
                                  <w:position w:val="-8"/>
                                  <w:szCs w:val="21"/>
                                </w:rPr>
                              </w:pPr>
                              <w:r>
                                <w:rPr>
                                  <w:rFonts w:hint="eastAsia" w:ascii="楷体" w:hAnsi="楷体" w:eastAsia="楷体" w:cs="楷体"/>
                                  <w:position w:val="-8"/>
                                  <w:szCs w:val="21"/>
                                </w:rPr>
                                <w:t>初步形成研究成果</w:t>
                              </w:r>
                            </w:p>
                          </w:txbxContent>
                        </v:textbox>
                      </v:shape>
                      <v:shape id="_x0000_s1026" o:spid="_x0000_s1026" o:spt="202" type="#_x0000_t202" style="position:absolute;left:5844;top:5177;height:680;width:2340;" fillcolor="#FFFFFF" filled="t" stroked="t" coordsize="21600,21600" o:gfxdata="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GUS8AAAA&#10;2g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inset="0mm,0mm,0mm,0mm">
                          <w:txbxContent>
                            <w:p>
                              <w:pPr>
                                <w:spacing w:line="540" w:lineRule="auto"/>
                                <w:jc w:val="center"/>
                                <w:rPr>
                                  <w:rFonts w:hint="eastAsia" w:ascii="楷体" w:hAnsi="楷体" w:eastAsia="楷体" w:cs="楷体"/>
                                  <w:szCs w:val="21"/>
                                </w:rPr>
                              </w:pPr>
                              <w:r>
                                <w:rPr>
                                  <w:rFonts w:hint="eastAsia" w:ascii="楷体" w:hAnsi="楷体" w:eastAsia="楷体" w:cs="楷体"/>
                                  <w:position w:val="2"/>
                                  <w:szCs w:val="21"/>
                                </w:rPr>
                                <w:t>确立课题</w:t>
                              </w:r>
                            </w:p>
                          </w:txbxContent>
                        </v:textbox>
                      </v:shape>
                      <v:shape id="_x0000_s1026" o:spid="_x0000_s1026" o:spt="202" type="#_x0000_t202" style="position:absolute;left:5440;top:9777;height:680;width:3170;" fillcolor="#FFFFFF" filled="t" stroked="t" coordsize="21600,21600" o:gfxdata="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bzfvQAA&#10;ANo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inset="0mm,0mm,0mm,0mm">
                          <w:txbxContent>
                            <w:p>
                              <w:pPr>
                                <w:spacing w:line="540" w:lineRule="auto"/>
                                <w:jc w:val="center"/>
                                <w:rPr>
                                  <w:rFonts w:hint="eastAsia" w:ascii="楷体" w:hAnsi="楷体" w:eastAsia="楷体" w:cs="楷体"/>
                                  <w:position w:val="-8"/>
                                  <w:sz w:val="24"/>
                                  <w:szCs w:val="32"/>
                                </w:rPr>
                              </w:pPr>
                              <w:r>
                                <w:rPr>
                                  <w:rFonts w:hint="eastAsia" w:ascii="楷体" w:hAnsi="楷体" w:eastAsia="楷体" w:cs="楷体"/>
                                  <w:position w:val="-8"/>
                                  <w:szCs w:val="21"/>
                                </w:rPr>
                                <w:t>研究成果修订、整合</w:t>
                              </w:r>
                            </w:p>
                          </w:txbxContent>
                        </v:textbox>
                      </v:shape>
                      <v:shape id="_x0000_s1026" o:spid="_x0000_s1026" o:spt="202" type="#_x0000_t202" style="position:absolute;left:3681;top:6144;height:454;width:1474;" fillcolor="#FFFFFF" filled="t" stroked="t" coordsize="21600,21600" o:gfxdata="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FCSrvQAA&#10;ANo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inset="0mm,0mm,0mm,0mm">
                          <w:txbxContent>
                            <w:p>
                              <w:pPr>
                                <w:spacing w:line="360" w:lineRule="auto"/>
                                <w:jc w:val="center"/>
                                <w:rPr>
                                  <w:rFonts w:hint="eastAsia" w:ascii="楷体" w:hAnsi="楷体" w:eastAsia="楷体" w:cs="楷体"/>
                                  <w:position w:val="-8"/>
                                  <w:szCs w:val="21"/>
                                </w:rPr>
                              </w:pPr>
                              <w:r>
                                <w:rPr>
                                  <w:rFonts w:hint="eastAsia" w:ascii="楷体" w:hAnsi="楷体" w:eastAsia="楷体" w:cs="楷体"/>
                                  <w:position w:val="-8"/>
                                  <w:szCs w:val="21"/>
                                </w:rPr>
                                <w:t>文献研究</w:t>
                              </w:r>
                            </w:p>
                          </w:txbxContent>
                        </v:textbox>
                      </v:shape>
                      <v:shape id="_x0000_s1026" o:spid="_x0000_s1026" o:spt="202" type="#_x0000_t202" style="position:absolute;left:6277;top:6155;height:454;width:1474;" fillcolor="#FFFFFF" filled="t" stroked="t" coordsize="21600,21600" o:gfxdata="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WIEwvQAA&#10;ANo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inset="0mm,0mm,0mm,0mm">
                          <w:txbxContent>
                            <w:p>
                              <w:pPr>
                                <w:spacing w:line="360" w:lineRule="auto"/>
                                <w:jc w:val="center"/>
                                <w:rPr>
                                  <w:rFonts w:hint="eastAsia" w:ascii="楷体" w:hAnsi="楷体" w:eastAsia="楷体" w:cs="楷体"/>
                                  <w:position w:val="-8"/>
                                  <w:szCs w:val="21"/>
                                </w:rPr>
                              </w:pPr>
                              <w:r>
                                <w:rPr>
                                  <w:rFonts w:hint="eastAsia" w:ascii="楷体" w:hAnsi="楷体" w:eastAsia="楷体" w:cs="楷体"/>
                                  <w:position w:val="-8"/>
                                  <w:szCs w:val="21"/>
                                </w:rPr>
                                <w:t>调查分析</w:t>
                              </w:r>
                            </w:p>
                          </w:txbxContent>
                        </v:textbox>
                      </v:shape>
                      <v:shape id="_x0000_s1026" o:spid="_x0000_s1026" o:spt="202" type="#_x0000_t202" style="position:absolute;left:8854;top:6167;height:454;width:1474;" fillcolor="#FFFFFF" filled="t" stroked="t" coordsize="21600,21600" o:gfxdata="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KH0e8AAAA&#10;2g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inset="0mm,0mm,0mm,0mm">
                          <w:txbxContent>
                            <w:p>
                              <w:pPr>
                                <w:spacing w:line="360" w:lineRule="auto"/>
                                <w:jc w:val="center"/>
                                <w:rPr>
                                  <w:rFonts w:hint="eastAsia" w:ascii="楷体" w:hAnsi="楷体" w:eastAsia="楷体" w:cs="楷体"/>
                                  <w:position w:val="-8"/>
                                  <w:szCs w:val="21"/>
                                </w:rPr>
                              </w:pPr>
                              <w:r>
                                <w:rPr>
                                  <w:rFonts w:hint="eastAsia" w:ascii="楷体" w:hAnsi="楷体" w:eastAsia="楷体" w:cs="楷体"/>
                                  <w:position w:val="-8"/>
                                  <w:szCs w:val="21"/>
                                </w:rPr>
                                <w:t>行动研究</w:t>
                              </w:r>
                            </w:p>
                          </w:txbxContent>
                        </v:textbox>
                      </v:shape>
                      <v:shape id="_x0000_s1026" o:spid="_x0000_s1026" o:spt="202" type="#_x0000_t202" style="position:absolute;left:3349;top:6895;height:454;width:2154;" fillcolor="#FFFFFF" filled="t" stroked="t" coordsize="21600,21600" o:gfxdata="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rrcvQAA&#10;ANo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inset="0mm,0mm,0mm,0mm">
                          <w:txbxContent>
                            <w:p>
                              <w:pPr>
                                <w:spacing w:line="360" w:lineRule="auto"/>
                                <w:jc w:val="center"/>
                                <w:rPr>
                                  <w:rFonts w:hint="eastAsia" w:ascii="楷体" w:hAnsi="楷体" w:eastAsia="楷体" w:cs="楷体"/>
                                  <w:position w:val="-8"/>
                                  <w:szCs w:val="21"/>
                                </w:rPr>
                              </w:pPr>
                              <w:r>
                                <w:rPr>
                                  <w:rFonts w:hint="eastAsia" w:ascii="楷体" w:hAnsi="楷体" w:eastAsia="楷体" w:cs="楷体"/>
                                  <w:position w:val="-8"/>
                                  <w:szCs w:val="21"/>
                                </w:rPr>
                                <w:t>本质、原理、机制</w:t>
                              </w:r>
                            </w:p>
                          </w:txbxContent>
                        </v:textbox>
                      </v:shape>
                      <v:shape id="_x0000_s1026" o:spid="_x0000_s1026" o:spt="202" type="#_x0000_t202" style="position:absolute;left:5948;top:6895;height:454;width:2154;" fillcolor="#FFFFFF" filled="t" stroked="t" coordsize="21600,21600" o:gfxdata="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5ZLq68AAAA&#10;2g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inset="0mm,0mm,0mm,0mm">
                          <w:txbxContent>
                            <w:p>
                              <w:pPr>
                                <w:spacing w:line="360" w:lineRule="auto"/>
                                <w:jc w:val="center"/>
                                <w:rPr>
                                  <w:rFonts w:hint="eastAsia" w:ascii="楷体" w:hAnsi="楷体" w:eastAsia="楷体" w:cs="楷体"/>
                                  <w:position w:val="-8"/>
                                  <w:sz w:val="24"/>
                                  <w:szCs w:val="32"/>
                                </w:rPr>
                              </w:pPr>
                              <w:r>
                                <w:rPr>
                                  <w:rFonts w:hint="eastAsia" w:ascii="楷体" w:hAnsi="楷体" w:eastAsia="楷体" w:cs="楷体"/>
                                  <w:position w:val="-8"/>
                                  <w:szCs w:val="21"/>
                                </w:rPr>
                                <w:t>现状、问题、需求</w:t>
                              </w:r>
                            </w:p>
                          </w:txbxContent>
                        </v:textbox>
                      </v:shape>
                      <v:shape id="_x0000_s1026" o:spid="_x0000_s1026" o:spt="202" type="#_x0000_t202" style="position:absolute;left:8533;top:6905;height:454;width:2154;" fillcolor="#FFFFFF" filled="t" stroked="t" coordsize="21600,21600" o:gfxdata="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FYs1vQAA&#10;ANo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inset="0mm,0mm,0mm,0mm">
                          <w:txbxContent>
                            <w:p>
                              <w:pPr>
                                <w:spacing w:line="360" w:lineRule="auto"/>
                                <w:jc w:val="center"/>
                                <w:rPr>
                                  <w:rFonts w:hint="eastAsia" w:ascii="楷体" w:hAnsi="楷体" w:eastAsia="楷体" w:cs="楷体"/>
                                  <w:position w:val="-8"/>
                                  <w:szCs w:val="21"/>
                                </w:rPr>
                              </w:pPr>
                              <w:r>
                                <w:rPr>
                                  <w:rFonts w:hint="eastAsia" w:ascii="楷体" w:hAnsi="楷体" w:eastAsia="楷体" w:cs="楷体"/>
                                  <w:position w:val="-8"/>
                                  <w:szCs w:val="21"/>
                                </w:rPr>
                                <w:t>目标、内容、策略</w:t>
                              </w:r>
                            </w:p>
                          </w:txbxContent>
                        </v:textbox>
                      </v:shape>
                      <v:shape id="_x0000_s1026" o:spid="_x0000_s1026" o:spt="202" type="#_x0000_t202" style="position:absolute;left:2807;top:8834;height:454;width:1928;" fillcolor="#FFFFFF" filled="t" stroked="t" coordsize="21600,21600" o:gfxdata="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EgAP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inset="0mm,0mm,0mm,0mm">
                          <w:txbxContent>
                            <w:p>
                              <w:pPr>
                                <w:spacing w:line="360" w:lineRule="auto"/>
                                <w:jc w:val="center"/>
                                <w:rPr>
                                  <w:rFonts w:hint="eastAsia" w:ascii="楷体" w:hAnsi="楷体" w:eastAsia="楷体" w:cs="楷体"/>
                                  <w:position w:val="-8"/>
                                  <w:szCs w:val="21"/>
                                </w:rPr>
                              </w:pPr>
                              <w:r>
                                <w:rPr>
                                  <w:rFonts w:hint="eastAsia" w:ascii="楷体" w:hAnsi="楷体" w:eastAsia="楷体" w:cs="楷体"/>
                                  <w:position w:val="-8"/>
                                  <w:szCs w:val="21"/>
                                </w:rPr>
                                <w:t>表现目标体系</w:t>
                              </w:r>
                            </w:p>
                          </w:txbxContent>
                        </v:textbox>
                      </v:shape>
                      <v:shape id="_x0000_s1026" o:spid="_x0000_s1026" o:spt="202" type="#_x0000_t202" style="position:absolute;left:5000;top:8834;height:454;width:1928;" fillcolor="#FFFFFF" filled="t" stroked="t" coordsize="21600,21600" o:gfxdata="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l6llLsAAADb&#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inset="0mm,0mm,0mm,0mm">
                          <w:txbxContent>
                            <w:p>
                              <w:pPr>
                                <w:spacing w:line="360" w:lineRule="auto"/>
                                <w:jc w:val="center"/>
                                <w:rPr>
                                  <w:rFonts w:hint="eastAsia" w:ascii="楷体" w:hAnsi="楷体" w:eastAsia="楷体" w:cs="楷体"/>
                                  <w:position w:val="-8"/>
                                  <w:szCs w:val="21"/>
                                </w:rPr>
                              </w:pPr>
                              <w:r>
                                <w:rPr>
                                  <w:rFonts w:hint="eastAsia" w:ascii="楷体" w:hAnsi="楷体" w:eastAsia="楷体" w:cs="楷体"/>
                                  <w:position w:val="-8"/>
                                  <w:szCs w:val="21"/>
                                </w:rPr>
                                <w:t>写实记录工具</w:t>
                              </w:r>
                            </w:p>
                          </w:txbxContent>
                        </v:textbox>
                      </v:shape>
                      <v:shape id="_x0000_s1026" o:spid="_x0000_s1026" o:spt="202" type="#_x0000_t202" style="position:absolute;left:7194;top:8834;height:454;width:1928;" fillcolor="#FFFFFF" filled="t" stroked="t" coordsize="21600,21600" o:gfxdata="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w747sAAADb&#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inset="0mm,0mm,0mm,0mm">
                          <w:txbxContent>
                            <w:p>
                              <w:pPr>
                                <w:spacing w:line="360" w:lineRule="auto"/>
                                <w:jc w:val="center"/>
                                <w:rPr>
                                  <w:rFonts w:hint="eastAsia" w:ascii="楷体" w:hAnsi="楷体" w:eastAsia="楷体" w:cs="楷体"/>
                                  <w:position w:val="-8"/>
                                  <w:szCs w:val="21"/>
                                </w:rPr>
                              </w:pPr>
                              <w:r>
                                <w:rPr>
                                  <w:rFonts w:hint="eastAsia" w:ascii="楷体" w:hAnsi="楷体" w:eastAsia="楷体" w:cs="楷体"/>
                                  <w:position w:val="-8"/>
                                  <w:szCs w:val="21"/>
                                </w:rPr>
                                <w:t>表现性评价策略</w:t>
                              </w:r>
                            </w:p>
                          </w:txbxContent>
                        </v:textbox>
                      </v:shape>
                      <v:shape id="_x0000_s1026" o:spid="_x0000_s1026" o:spt="202" type="#_x0000_t202" style="position:absolute;left:9351;top:8845;height:454;width:2494;" fillcolor="#FFFFFF" filled="t" stroked="t" coordsize="21600,21600" o:gfxdata="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cCeeLsAAADb&#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inset="0mm,0mm,0mm,0mm">
                          <w:txbxContent>
                            <w:p>
                              <w:pPr>
                                <w:spacing w:line="360" w:lineRule="auto"/>
                                <w:jc w:val="center"/>
                                <w:rPr>
                                  <w:rFonts w:hint="eastAsia" w:ascii="楷体" w:hAnsi="楷体" w:eastAsia="楷体" w:cs="楷体"/>
                                  <w:position w:val="-8"/>
                                  <w:szCs w:val="21"/>
                                </w:rPr>
                              </w:pPr>
                              <w:r>
                                <w:rPr>
                                  <w:rFonts w:hint="eastAsia" w:ascii="楷体" w:hAnsi="楷体" w:eastAsia="楷体" w:cs="楷体"/>
                                  <w:position w:val="-8"/>
                                  <w:szCs w:val="21"/>
                                </w:rPr>
                                <w:t>结果呈现与反馈机制</w:t>
                              </w:r>
                            </w:p>
                          </w:txbxContent>
                        </v:textbox>
                      </v:shape>
                      <v:shape id="_x0000_s1026" o:spid="_x0000_s1026" o:spt="33" type="#_x0000_t33" style="position:absolute;left:4418;top:5517;flip:y;height:627;width:1426;rotation:11796480f;" filled="f" stroked="t" coordsize="21600,21600" o:gfxdata="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ABSfO5AAAA2wAA&#10;AA8AAAAAAAAAAQAgAAAAIgAAAGRycy9kb3ducmV2LnhtbFBLAQIUABQAAAAIAIdO4kAzLwWeOwAA&#10;ADkAAAAQAAAAAAAAAAEAIAAAAAgBAABkcnMvc2hhcGV4bWwueG1sUEsFBgAAAAAGAAYAWwEAALID&#10;AAAAAA==&#10;">
                        <v:fill on="f" focussize="0,0"/>
                        <v:stroke color="#000000" joinstyle="round" endarrow="block" endarrowwidth="narrow"/>
                        <v:imagedata o:title=""/>
                        <o:lock v:ext="edit" aspectratio="f"/>
                      </v:shape>
                      <v:shape id="_x0000_s1026" o:spid="_x0000_s1026" o:spt="33" type="#_x0000_t33" style="position:absolute;left:8184;top:5517;height:650;width:1407;" filled="f" stroked="t" coordsize="21600,21600" o:gfxdata="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r1/ELUAAADbAAAADwAA&#10;AAAAAAABACAAAAAiAAAAZHJzL2Rvd25yZXYueG1sUEsBAhQAFAAAAAgAh07iQDMvBZ47AAAAOQAA&#10;ABAAAAAAAAAAAQAgAAAABAEAAGRycy9zaGFwZXhtbC54bWxQSwUGAAAAAAYABgBbAQAArgMAAAAA&#10;">
                        <v:fill on="f" focussize="0,0"/>
                        <v:stroke color="#000000" joinstyle="round" endarrow="block" endarrowwidth="narrow"/>
                        <v:imagedata o:title=""/>
                        <o:lock v:ext="edit" aspectratio="f"/>
                      </v:shape>
                      <v:shape id="_x0000_s1026" o:spid="_x0000_s1026" o:spt="32" type="#_x0000_t32" style="position:absolute;left:7014;top:5857;height:298;width:0;" filled="f" stroked="t" coordsize="21600,21600" o:gfxdata="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Zo0+8AAAA&#10;2wAAAA8AAAAAAAAAAQAgAAAAIgAAAGRycy9kb3ducmV2LnhtbFBLAQIUABQAAAAIAIdO4kAzLwWe&#10;OwAAADkAAAAQAAAAAAAAAAEAIAAAAAsBAABkcnMvc2hhcGV4bWwueG1sUEsFBgAAAAAGAAYAWwEA&#10;ALUDAAAAAA==&#10;">
                        <v:fill on="f" focussize="0,0"/>
                        <v:stroke color="#000000" joinstyle="round" endarrow="block" endarrowwidth="narrow"/>
                        <v:imagedata o:title=""/>
                        <o:lock v:ext="edit" aspectratio="f"/>
                      </v:shape>
                      <v:shape id="_x0000_s1026" o:spid="_x0000_s1026" o:spt="32" type="#_x0000_t32" style="position:absolute;left:4428;top:6600;height:298;width:0;" filled="f" stroked="t" coordsize="21600,21600" o:gfxdata="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VBtS8AAAA&#10;2wAAAA8AAAAAAAAAAQAgAAAAIgAAAGRycy9kb3ducmV2LnhtbFBLAQIUABQAAAAIAIdO4kAzLwWe&#10;OwAAADkAAAAQAAAAAAAAAAEAIAAAAAsBAABkcnMvc2hhcGV4bWwueG1sUEsFBgAAAAAGAAYAWwEA&#10;ALUDAAAAAA==&#10;">
                        <v:fill on="f" focussize="0,0"/>
                        <v:stroke color="#000000" joinstyle="round" endarrow="block" endarrowwidth="narrow"/>
                        <v:imagedata o:title=""/>
                        <o:lock v:ext="edit" aspectratio="f"/>
                      </v:shape>
                      <v:shape id="_x0000_s1026" o:spid="_x0000_s1026" o:spt="32" type="#_x0000_t32" style="position:absolute;left:7015;top:6609;height:298;width:0;" filled="f" stroked="t" coordsize="21600,21600" o:gfxdata="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YqSpr4A&#10;AADbAAAADwAAAAAAAAABACAAAAAiAAAAZHJzL2Rvd25yZXYueG1sUEsBAhQAFAAAAAgAh07iQDMv&#10;BZ47AAAAOQAAABAAAAAAAAAAAQAgAAAADQEAAGRycy9zaGFwZXhtbC54bWxQSwUGAAAAAAYABgBb&#10;AQAAtwMAAAAA&#10;">
                        <v:fill on="f" focussize="0,0"/>
                        <v:stroke color="#000000" joinstyle="round" endarrow="block" endarrowwidth="narrow"/>
                        <v:imagedata o:title=""/>
                        <o:lock v:ext="edit" aspectratio="f"/>
                      </v:shape>
                      <v:shape id="_x0000_s1026" o:spid="_x0000_s1026" o:spt="32" type="#_x0000_t32" style="position:absolute;left:9592;top:6618;height:298;width:0;" filled="f" stroked="t" coordsize="21600,21600" o:gfxdata="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GNz28AAAA&#10;2wAAAA8AAAAAAAAAAQAgAAAAIgAAAGRycy9kb3ducmV2LnhtbFBLAQIUABQAAAAIAIdO4kAzLwWe&#10;OwAAADkAAAAQAAAAAAAAAAEAIAAAAAsBAABkcnMvc2hhcGV4bWwueG1sUEsFBgAAAAAGAAYAWwEA&#10;ALUDAAAAAA==&#10;">
                        <v:fill on="f" focussize="0,0"/>
                        <v:stroke color="#000000" joinstyle="round" endarrow="block" endarrowwidth="narrow"/>
                        <v:imagedata o:title=""/>
                        <o:lock v:ext="edit" aspectratio="f"/>
                      </v:shape>
                      <v:shape id="_x0000_s1026" o:spid="_x0000_s1026" o:spt="32" type="#_x0000_t32" style="position:absolute;left:5957;top:8583;height:255;width:0;" filled="f" stroked="t" coordsize="21600,21600" o:gfxdata="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WQVB25AAAA2wAA&#10;AA8AAAAAAAAAAQAgAAAAIgAAAGRycy9kb3ducmV2LnhtbFBLAQIUABQAAAAIAIdO4kAzLwWeOwAA&#10;ADkAAAAQAAAAAAAAAAEAIAAAAAgBAABkcnMvc2hhcGV4bWwueG1sUEsFBgAAAAAGAAYAWwEAALID&#10;AAAAAA==&#10;">
                        <v:fill on="f" focussize="0,0"/>
                        <v:stroke color="#000000" joinstyle="round" endarrow="block" endarrowwidth="narrow"/>
                        <v:imagedata o:title=""/>
                        <o:lock v:ext="edit" aspectratio="f"/>
                      </v:shape>
                      <v:shape id="_x0000_s1026" o:spid="_x0000_s1026" o:spt="33" type="#_x0000_t33" style="position:absolute;left:8786;top:7161;height:1011;width:627;rotation:5898240f;" filled="f" stroked="t" coordsize="21600,21600" o:gfxdata="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2Ofqa8AAAA&#10;2wAAAA8AAAAAAAAAAQAgAAAAIgAAAGRycy9kb3ducmV2LnhtbFBLAQIUABQAAAAIAIdO4kAzLwWe&#10;OwAAADkAAAAQAAAAAAAAAAEAIAAAAAsBAABkcnMvc2hhcGV4bWwueG1sUEsFBgAAAAAGAAYAWwEA&#10;ALUDAAAAAA==&#10;">
                        <v:fill on="f" focussize="0,0"/>
                        <v:stroke color="#000000" joinstyle="round" endarrow="block" endarrowwidth="narrow"/>
                        <v:imagedata o:title=""/>
                        <o:lock v:ext="edit" aspectratio="f"/>
                      </v:shape>
                      <v:shape id="_x0000_s1026" o:spid="_x0000_s1026" o:spt="33" type="#_x0000_t33" style="position:absolute;left:4604;top:7160;flip:y;height:1003;width:637;rotation:-5898240f;" filled="f" stroked="t" coordsize="21600,21600" o:gfxdata="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ESW68AAAA&#10;2wAAAA8AAAAAAAAAAQAgAAAAIgAAAGRycy9kb3ducmV2LnhtbFBLAQIUABQAAAAIAIdO4kAzLwWe&#10;OwAAADkAAAAQAAAAAAAAAAEAIAAAAAsBAABkcnMvc2hhcGV4bWwueG1sUEsFBgAAAAAGAAYAWwEA&#10;ALUDAAAAAA==&#10;">
                        <v:fill on="f" focussize="0,0"/>
                        <v:stroke color="#000000" joinstyle="round" endarrow="block" endarrowwidth="narrow"/>
                        <v:imagedata o:title=""/>
                        <o:lock v:ext="edit" aspectratio="f"/>
                      </v:shape>
                      <v:shape id="_x0000_s1026" o:spid="_x0000_s1026" o:spt="34" type="#_x0000_t34" style="position:absolute;left:7174;top:5421;flip:x;height:6827;width:11;rotation:5898240f;" filled="f" stroked="t" coordsize="21600,21600" o:gfxdata="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W4YGL4A&#10;AADbAAAADwAAAAAAAAABACAAAAAiAAAAZHJzL2Rvd25yZXYueG1sUEsBAhQAFAAAAAgAh07iQDMv&#10;BZ47AAAAOQAAABAAAAAAAAAAAQAgAAAADQEAAGRycy9zaGFwZXhtbC54bWxQSwUGAAAAAAYABgBb&#10;AQAAtwMAAAAA&#10;" adj="-524291">
                        <v:fill on="f" focussize="0,0"/>
                        <v:stroke color="#000000" joinstyle="round" startarrow="block" startarrowwidth="narrow" endarrow="block" endarrowwidth="narrow"/>
                        <v:imagedata o:title=""/>
                        <o:lock v:ext="edit" aspectratio="f"/>
                      </v:shape>
                      <v:shape id="_x0000_s1026" o:spid="_x0000_s1026" o:spt="32" type="#_x0000_t32" style="position:absolute;left:7018;top:8330;height:255;width:0;" filled="f" stroked="t" coordsize="21600,21600" o:gfxdata="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q1IevQAA&#10;ANs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shape>
                      <v:shape id="_x0000_s1026" o:spid="_x0000_s1026" o:spt="32" type="#_x0000_t32" style="position:absolute;left:8155;top:8576;height:255;width:0;" filled="f" stroked="t" coordsize="21600,21600" o:gfxdata="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5/eFvQAA&#10;ANs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shape>
                      <v:shape id="_x0000_s1026" o:spid="_x0000_s1026" o:spt="34" type="#_x0000_t34" style="position:absolute;left:7174;top:5875;flip:y;height:6827;width:11;rotation:-5898240f;" filled="f" stroked="t" coordsize="21600,21600" o:gfxdata="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MpXbLsAAADb&#10;AAAADwAAAAAAAAABACAAAAAiAAAAZHJzL2Rvd25yZXYueG1sUEsBAhQAFAAAAAgAh07iQDMvBZ47&#10;AAAAOQAAABAAAAAAAAAAAQAgAAAACgEAAGRycy9zaGFwZXhtbC54bWxQSwUGAAAAAAYABgBbAQAA&#10;tAMAAAAA&#10;" adj="451636">
                        <v:fill on="f" focussize="0,0"/>
                        <v:stroke color="#000000" joinstyle="round"/>
                        <v:imagedata o:title=""/>
                        <o:lock v:ext="edit" aspectratio="f"/>
                      </v:shape>
                      <v:shape id="_x0000_s1026" o:spid="_x0000_s1026" o:spt="32" type="#_x0000_t32" style="position:absolute;left:7046;top:9529;height:255;width:0;" filled="f" stroked="t" coordsize="21600,21600" o:gfxdata="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ecxpvQAA&#10;ANs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shape>
                      <v:line id="_x0000_s1026" o:spid="_x0000_s1026" o:spt="20" style="position:absolute;left:5964;top:9295;height:227;width:1;" filled="f" stroked="t" coordsize="21600,21600"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8154;top:9295;height:227;width:1;"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w10:wrap type="none"/>
                      <w10:anchorlock/>
                    </v:group>
                  </w:pict>
                </mc:Fallback>
              </mc:AlternateContent>
            </w:r>
          </w:p>
          <w:p>
            <w:pPr>
              <w:spacing w:line="360" w:lineRule="exact"/>
              <w:ind w:firstLine="422" w:firstLineChars="200"/>
              <w:rPr>
                <w:rFonts w:hint="eastAsia" w:ascii="宋体" w:hAnsi="宋体" w:cs="宋体"/>
                <w:szCs w:val="21"/>
              </w:rPr>
            </w:pPr>
            <w:r>
              <w:rPr>
                <w:rFonts w:hint="eastAsia" w:ascii="宋体" w:hAnsi="宋体" w:cs="宋体"/>
                <w:b/>
                <w:bCs/>
                <w:szCs w:val="21"/>
              </w:rPr>
              <w:t>研究过程：</w:t>
            </w:r>
          </w:p>
          <w:p>
            <w:pPr>
              <w:spacing w:line="360" w:lineRule="exact"/>
              <w:ind w:firstLine="422" w:firstLineChars="200"/>
              <w:rPr>
                <w:rFonts w:hint="eastAsia" w:ascii="宋体" w:hAnsi="宋体" w:cs="宋体"/>
                <w:szCs w:val="21"/>
              </w:rPr>
            </w:pPr>
            <w:r>
              <w:rPr>
                <w:rFonts w:hint="eastAsia" w:ascii="宋体" w:hAnsi="宋体" w:cs="宋体"/>
                <w:b/>
                <w:bCs/>
                <w:szCs w:val="21"/>
              </w:rPr>
              <w:t>1.启动与准备阶段</w:t>
            </w:r>
            <w:r>
              <w:rPr>
                <w:rFonts w:hint="eastAsia" w:ascii="宋体" w:hAnsi="宋体" w:cs="宋体"/>
                <w:szCs w:val="21"/>
              </w:rPr>
              <w:t>（2019.06——2019.12）学习相关课题的理论，收集资料，确定研究目标，清理工作思路，组建课题研究小组，完成课题方案设计；组织开题论证，进一步完善课题研究方案；课题组核心成员在在一定范围内，采用恰当的方式，对目前学校综合实践活动课程评价现状进行观察分析。</w:t>
            </w:r>
          </w:p>
          <w:p>
            <w:pPr>
              <w:spacing w:line="360" w:lineRule="exact"/>
              <w:ind w:firstLine="422" w:firstLineChars="200"/>
              <w:rPr>
                <w:rFonts w:hint="eastAsia" w:ascii="宋体" w:hAnsi="宋体" w:cs="宋体"/>
                <w:szCs w:val="21"/>
              </w:rPr>
            </w:pPr>
            <w:r>
              <w:rPr>
                <w:rFonts w:hint="eastAsia" w:ascii="宋体" w:hAnsi="宋体" w:cs="宋体"/>
                <w:b/>
                <w:bCs/>
                <w:szCs w:val="21"/>
              </w:rPr>
              <w:t>2.理论研究与培训阶段</w:t>
            </w:r>
            <w:r>
              <w:rPr>
                <w:rFonts w:hint="eastAsia" w:ascii="宋体" w:hAnsi="宋体" w:cs="宋体"/>
                <w:szCs w:val="21"/>
              </w:rPr>
              <w:t>（2020.01——2020.06）围绕前期的文献研究和现状调查进行交流探讨，进一步明确研究的方向和重点。进行深入的理论研究，结合前期的调查与分析，进一步明确研究任务，制订切实可行的实施计划，组织对方案的研讨论证，同时分批分层组织参与研究的老师开展专业培训活动。</w:t>
            </w:r>
          </w:p>
          <w:p>
            <w:pPr>
              <w:spacing w:line="360" w:lineRule="exact"/>
              <w:ind w:firstLine="422" w:firstLineChars="200"/>
              <w:rPr>
                <w:rFonts w:hint="eastAsia" w:ascii="宋体" w:hAnsi="宋体" w:cs="宋体"/>
                <w:szCs w:val="21"/>
              </w:rPr>
            </w:pPr>
            <w:r>
              <w:rPr>
                <w:rFonts w:hint="eastAsia" w:ascii="宋体" w:hAnsi="宋体" w:cs="宋体"/>
                <w:b/>
                <w:bCs/>
                <w:szCs w:val="21"/>
              </w:rPr>
              <w:t>3.实践研究整体推进阶段</w:t>
            </w:r>
            <w:r>
              <w:rPr>
                <w:rFonts w:hint="eastAsia" w:ascii="宋体" w:hAnsi="宋体" w:cs="宋体"/>
                <w:szCs w:val="21"/>
              </w:rPr>
              <w:t>（2020.07——2021.06）根据实施方案有计划有步骤地开展实践探索，定期组织课题交流活动，如课堂观摩、主题研讨、读书沙龙、成果展示等。建好课题网站，积累详细研究资料。在实践过程中继续开展理论研究，对实施过程中产生的经验进行理论分析，总结提炼，对发现的问题进行理论研究，修正原定方案。进行课题的中期评估，分析总结课题进展情况，进行阶段研究成果的展示。</w:t>
            </w:r>
          </w:p>
          <w:p>
            <w:pPr>
              <w:spacing w:line="360" w:lineRule="exact"/>
              <w:ind w:firstLine="422" w:firstLineChars="200"/>
              <w:rPr>
                <w:rFonts w:hint="eastAsia" w:ascii="宋体" w:hAnsi="宋体" w:cs="宋体"/>
                <w:szCs w:val="21"/>
              </w:rPr>
            </w:pPr>
            <w:r>
              <w:rPr>
                <w:rFonts w:hint="eastAsia" w:ascii="宋体" w:hAnsi="宋体" w:cs="宋体"/>
                <w:b/>
                <w:bCs/>
                <w:szCs w:val="21"/>
              </w:rPr>
              <w:t>4.研究深化与总结阶段</w:t>
            </w:r>
            <w:r>
              <w:rPr>
                <w:rFonts w:hint="eastAsia" w:ascii="宋体" w:hAnsi="宋体" w:cs="宋体"/>
                <w:szCs w:val="21"/>
              </w:rPr>
              <w:t>（2021.07——2022.06）根据中期评估意见，分析总结课题进展情况，进一步完善研究方案。对本课题研究过程、研究成果进行全面分析总结，对实施过程中产生的经验进行理性思辨、总结提炼，形成完整的文本材料，全体成员完成研究案例、论文等收集整理工作，做好结题鉴定准备工作，同时在本区域宣传推广课题研究成果。</w:t>
            </w:r>
          </w:p>
          <w:p>
            <w:pPr>
              <w:spacing w:line="360" w:lineRule="exact"/>
              <w:ind w:firstLine="422" w:firstLineChars="200"/>
              <w:rPr>
                <w:rFonts w:hint="eastAsia" w:ascii="宋体" w:hAnsi="宋体" w:cs="宋体"/>
                <w:szCs w:val="21"/>
              </w:rPr>
            </w:pPr>
            <w:r>
              <w:rPr>
                <w:rFonts w:hint="eastAsia" w:ascii="宋体" w:hAnsi="宋体" w:cs="宋体"/>
                <w:b/>
                <w:bCs/>
                <w:szCs w:val="21"/>
              </w:rPr>
              <w:t>研究方法：</w:t>
            </w:r>
          </w:p>
          <w:p>
            <w:pPr>
              <w:spacing w:line="360" w:lineRule="exact"/>
              <w:ind w:right="23" w:rightChars="11" w:firstLine="420" w:firstLineChars="200"/>
              <w:rPr>
                <w:rFonts w:hint="eastAsia" w:ascii="宋体" w:hAnsi="宋体"/>
                <w:bCs/>
                <w:szCs w:val="21"/>
              </w:rPr>
            </w:pPr>
            <w:r>
              <w:rPr>
                <w:rFonts w:hint="eastAsia" w:ascii="宋体" w:hAnsi="宋体"/>
                <w:bCs/>
                <w:szCs w:val="21"/>
              </w:rPr>
              <w:t>⑴文献研究。通过文献研究收集国内外有关综合实践活动课程评价相关专题的最新研究成果，为整个课题研究提供坚实的理论支撑、资料积累和外部借鉴。</w:t>
            </w:r>
          </w:p>
          <w:p>
            <w:pPr>
              <w:spacing w:line="360" w:lineRule="exact"/>
              <w:ind w:right="23" w:rightChars="11" w:firstLine="420" w:firstLineChars="200"/>
              <w:rPr>
                <w:rFonts w:hint="eastAsia" w:ascii="宋体" w:hAnsi="宋体"/>
                <w:bCs/>
                <w:szCs w:val="21"/>
              </w:rPr>
            </w:pPr>
            <w:r>
              <w:rPr>
                <w:rFonts w:hint="eastAsia" w:ascii="宋体" w:hAnsi="宋体"/>
                <w:bCs/>
                <w:szCs w:val="21"/>
              </w:rPr>
              <w:t>⑵调查研究。通过调查法，了解和评估小学综合实践活动课程评价的现状和主要问题；通过访谈法，搜集与综合实践活动评价研究有关的各种信息与数据。</w:t>
            </w:r>
          </w:p>
          <w:p>
            <w:pPr>
              <w:spacing w:line="360" w:lineRule="exact"/>
              <w:ind w:right="23" w:rightChars="11" w:firstLine="420" w:firstLineChars="200"/>
              <w:rPr>
                <w:rFonts w:hint="eastAsia" w:ascii="宋体" w:hAnsi="宋体"/>
                <w:bCs/>
                <w:szCs w:val="21"/>
              </w:rPr>
            </w:pPr>
            <w:r>
              <w:rPr>
                <w:rFonts w:hint="eastAsia" w:ascii="宋体" w:hAnsi="宋体"/>
                <w:bCs/>
                <w:szCs w:val="21"/>
              </w:rPr>
              <w:t>⑶行动研究。在行动中研究，围绕研究重点展开扎实的实践探索，在行动中不断修正和调整研究方案，将研究与实践紧密结合起来。</w:t>
            </w:r>
          </w:p>
          <w:p>
            <w:pPr>
              <w:spacing w:line="360" w:lineRule="exact"/>
              <w:ind w:right="23" w:rightChars="11" w:firstLine="420" w:firstLineChars="200"/>
              <w:rPr>
                <w:rFonts w:hint="eastAsia"/>
                <w:sz w:val="21"/>
                <w:szCs w:val="21"/>
              </w:rPr>
            </w:pPr>
            <w:r>
              <w:rPr>
                <w:rFonts w:hint="eastAsia" w:ascii="宋体" w:hAnsi="宋体"/>
                <w:bCs/>
                <w:szCs w:val="21"/>
              </w:rPr>
              <w:t>此外，在研究的各个阶段综合运用其他多种必须的研究方法，如叙事研究、案例研究等。</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2" w:hRule="atLeast"/>
        </w:trPr>
        <w:tc>
          <w:tcPr>
            <w:tcW w:w="918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7" w:rightChars="-51"/>
              <w:jc w:val="both"/>
              <w:rPr>
                <w:rFonts w:hint="eastAsia" w:ascii="宋体" w:hAnsi="宋体"/>
                <w:b/>
                <w:sz w:val="24"/>
              </w:rPr>
            </w:pPr>
            <w:r>
              <w:rPr>
                <w:rFonts w:hint="eastAsia" w:ascii="华文细黑" w:hAnsi="华文细黑" w:eastAsia="华文细黑"/>
                <w:b/>
                <w:sz w:val="24"/>
              </w:rPr>
              <w:t>（</w:t>
            </w:r>
            <w:r>
              <w:rPr>
                <w:rFonts w:hint="eastAsia" w:ascii="宋体" w:hAnsi="宋体"/>
                <w:b/>
                <w:sz w:val="24"/>
              </w:rPr>
              <w:t>五）主要观点与可能的创新之处</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28" w:hRule="atLeast"/>
        </w:trPr>
        <w:tc>
          <w:tcPr>
            <w:tcW w:w="9180"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ind w:right="-107" w:rightChars="-51" w:firstLine="422" w:firstLineChars="200"/>
              <w:rPr>
                <w:rFonts w:hint="eastAsia" w:ascii="宋体" w:hAnsi="宋体"/>
                <w:b/>
                <w:szCs w:val="21"/>
              </w:rPr>
            </w:pPr>
            <w:r>
              <w:rPr>
                <w:rFonts w:hint="eastAsia" w:ascii="宋体" w:hAnsi="宋体"/>
                <w:b/>
                <w:szCs w:val="21"/>
              </w:rPr>
              <w:t>主要观点：</w:t>
            </w:r>
          </w:p>
          <w:p>
            <w:pPr>
              <w:spacing w:line="360" w:lineRule="exact"/>
              <w:ind w:right="-107" w:rightChars="-51" w:firstLine="422" w:firstLineChars="200"/>
              <w:rPr>
                <w:rFonts w:hint="eastAsia" w:ascii="宋体" w:hAnsi="宋体"/>
                <w:bCs/>
                <w:szCs w:val="21"/>
              </w:rPr>
            </w:pPr>
            <w:r>
              <w:rPr>
                <w:rFonts w:hint="eastAsia" w:ascii="宋体" w:hAnsi="宋体"/>
                <w:b/>
                <w:szCs w:val="21"/>
              </w:rPr>
              <w:t>1.综合实践活动课程的性质和特点决定其评价有着独特的要求。</w:t>
            </w:r>
            <w:r>
              <w:rPr>
                <w:rFonts w:hint="eastAsia" w:ascii="宋体" w:hAnsi="宋体"/>
                <w:bCs/>
                <w:szCs w:val="21"/>
              </w:rPr>
              <w:t>综合实践活动课程肩负着超越单一学科型态、变革教与学方式的使命，其根本的课程目标是发展学生的综合素质。相应地，对课程评价也有着独特的要求，如，淡化继承性知识技能的掌握评价，凸显对学生综合能力发展水平的判断；融合他人评价与自我评价，评价重心向自我反思性评价转移；转变单一的评价标准，评价走向多元化；不强调结果，关注学生在过程中的表现。</w:t>
            </w:r>
          </w:p>
          <w:p>
            <w:pPr>
              <w:spacing w:line="360" w:lineRule="exact"/>
              <w:ind w:right="-107" w:rightChars="-51" w:firstLine="422" w:firstLineChars="200"/>
              <w:rPr>
                <w:rFonts w:hint="eastAsia" w:ascii="宋体" w:hAnsi="宋体"/>
                <w:bCs/>
                <w:szCs w:val="21"/>
              </w:rPr>
            </w:pPr>
            <w:r>
              <w:rPr>
                <w:rFonts w:hint="eastAsia" w:ascii="宋体" w:hAnsi="宋体"/>
                <w:b/>
                <w:szCs w:val="21"/>
              </w:rPr>
              <w:t>2.表现性评价是适合综合实践活动课程的有效评价方式。</w:t>
            </w:r>
            <w:r>
              <w:rPr>
                <w:rFonts w:hint="eastAsia" w:ascii="宋体" w:hAnsi="宋体"/>
                <w:bCs/>
                <w:szCs w:val="21"/>
              </w:rPr>
              <w:t>传统的学科学习评价方式长于检测学生对知识和技能的识记、理解和简单运用的情况，对于知识技能的综合运用能力、创造性地解决实际问题的能力则难以测查，对于情意态度方面的测评更是无能为力，显然不能满足综合实践活动课程评价的需要。而表现性评价不仅评价学生“知道什么”，更重要的是评价学生“能做什么”；表现性评价有清晰可行的学习目标；表现性评价倡导学生积极参与；表现性评价不仅关注结果，更加关注学生在过程中的表现。其主要优势在于通过对外在行为表现的分析，评判学习者内在能力或倾向的发展，正好克服了传统评价方式的弊端。因此，不论是从评价的内容指向还是操作特点上看，表现性评价都是非常“适合综合实践活动课程的有效评价方式”。</w:t>
            </w:r>
          </w:p>
          <w:p>
            <w:pPr>
              <w:spacing w:line="360" w:lineRule="exact"/>
              <w:ind w:right="-107" w:rightChars="-51" w:firstLine="422" w:firstLineChars="200"/>
              <w:rPr>
                <w:rFonts w:hint="eastAsia" w:ascii="宋体" w:hAnsi="宋体"/>
                <w:bCs/>
                <w:szCs w:val="21"/>
              </w:rPr>
            </w:pPr>
            <w:r>
              <w:rPr>
                <w:rFonts w:hint="eastAsia" w:ascii="宋体" w:hAnsi="宋体"/>
                <w:b/>
                <w:szCs w:val="21"/>
              </w:rPr>
              <w:t>3.写实记录是有效实施综合实践活动课程评价的基础和条件。</w:t>
            </w:r>
            <w:r>
              <w:rPr>
                <w:rFonts w:hint="eastAsia" w:ascii="宋体" w:hAnsi="宋体"/>
                <w:bCs/>
                <w:szCs w:val="21"/>
              </w:rPr>
              <w:t>综合实践活动课程评价需要运用多种评价方式来将内隐的核心素养转化为可观察可感知的外在表现。无论运用何种评价方式，其先决条件为真实细致的观察，并辅以精到、关键、如实的记录描述。写实记录是学生成长过程中的真实记载，对学生的成长具有很强的教育功能。做好写实记录要发挥学生的主体作用；记录内容应真实可查，不可虚构；描述要客观具体，无须修饰；记录要有代表性，不必“面面俱到”。</w:t>
            </w:r>
          </w:p>
          <w:p>
            <w:pPr>
              <w:spacing w:line="360" w:lineRule="exact"/>
              <w:ind w:right="-107" w:rightChars="-51" w:firstLine="422" w:firstLineChars="200"/>
              <w:rPr>
                <w:rFonts w:hint="eastAsia" w:ascii="宋体" w:hAnsi="宋体"/>
                <w:bCs/>
                <w:szCs w:val="21"/>
              </w:rPr>
            </w:pPr>
            <w:r>
              <w:rPr>
                <w:rFonts w:hint="eastAsia" w:ascii="宋体" w:hAnsi="宋体"/>
                <w:b/>
                <w:szCs w:val="21"/>
              </w:rPr>
              <w:t>4.综合实践活动评价的根本目的是促进学生的发展。</w:t>
            </w:r>
            <w:r>
              <w:rPr>
                <w:rFonts w:hint="eastAsia" w:ascii="宋体" w:hAnsi="宋体"/>
                <w:bCs/>
                <w:szCs w:val="21"/>
              </w:rPr>
              <w:t>综合实践活动的评价应坚持学生成长导向，评价的首要功能是让学生及时获得关于学习过程的反馈，改进后续活动。要改变评价中只重结果、不重过程的现象。要对学生的活动结果进行深入分析和研究，挖掘其背后蕴藏的思想、创意和体验，杜绝随意打分和简单排名等功利主义做法。</w:t>
            </w:r>
          </w:p>
          <w:p>
            <w:pPr>
              <w:keepNext w:val="0"/>
              <w:keepLines w:val="0"/>
              <w:pageBreakBefore w:val="0"/>
              <w:widowControl w:val="0"/>
              <w:kinsoku/>
              <w:wordWrap/>
              <w:overflowPunct/>
              <w:topLinePunct w:val="0"/>
              <w:autoSpaceDE/>
              <w:autoSpaceDN/>
              <w:bidi w:val="0"/>
              <w:adjustRightInd/>
              <w:snapToGrid/>
              <w:spacing w:before="157" w:beforeLines="50" w:line="360" w:lineRule="exact"/>
              <w:ind w:right="-107" w:rightChars="-51" w:firstLine="422" w:firstLineChars="200"/>
              <w:textAlignment w:val="auto"/>
              <w:rPr>
                <w:rFonts w:hint="eastAsia" w:ascii="宋体" w:hAnsi="宋体"/>
                <w:b/>
                <w:szCs w:val="21"/>
              </w:rPr>
            </w:pPr>
            <w:r>
              <w:rPr>
                <w:rFonts w:hint="eastAsia" w:ascii="宋体" w:hAnsi="宋体"/>
                <w:b/>
                <w:szCs w:val="21"/>
              </w:rPr>
              <w:t>可能的创新之处：</w:t>
            </w:r>
          </w:p>
          <w:p>
            <w:pPr>
              <w:spacing w:line="360" w:lineRule="exact"/>
              <w:ind w:right="-107" w:rightChars="-51" w:firstLine="422" w:firstLineChars="200"/>
              <w:rPr>
                <w:rFonts w:hint="eastAsia" w:ascii="宋体" w:hAnsi="宋体"/>
                <w:b/>
                <w:szCs w:val="21"/>
              </w:rPr>
            </w:pPr>
            <w:r>
              <w:rPr>
                <w:rFonts w:hint="eastAsia" w:ascii="宋体" w:hAnsi="宋体"/>
                <w:b/>
                <w:szCs w:val="21"/>
              </w:rPr>
              <w:t>1.评价理念的新提升。</w:t>
            </w:r>
          </w:p>
          <w:p>
            <w:pPr>
              <w:spacing w:line="360" w:lineRule="exact"/>
              <w:ind w:right="-107" w:rightChars="-51" w:firstLine="420" w:firstLineChars="200"/>
              <w:rPr>
                <w:rFonts w:hint="eastAsia" w:ascii="宋体" w:hAnsi="宋体"/>
                <w:bCs/>
                <w:szCs w:val="21"/>
              </w:rPr>
            </w:pPr>
            <w:r>
              <w:rPr>
                <w:rFonts w:hint="eastAsia" w:ascii="宋体" w:hAnsi="宋体"/>
                <w:bCs/>
                <w:szCs w:val="21"/>
              </w:rPr>
              <w:t>通过对写实记录基础上的表现性评价的深入研究，能进一步认识综合实践活动课程评价的本质与要求，把握评价发展的正确方向，使综合实践活动课程评价的发展与课程发展保持同步。</w:t>
            </w:r>
          </w:p>
          <w:p>
            <w:pPr>
              <w:spacing w:line="360" w:lineRule="exact"/>
              <w:ind w:right="-107" w:rightChars="-51" w:firstLine="422" w:firstLineChars="200"/>
              <w:rPr>
                <w:rFonts w:hint="eastAsia" w:ascii="宋体" w:hAnsi="宋体"/>
                <w:b/>
                <w:szCs w:val="21"/>
              </w:rPr>
            </w:pPr>
            <w:r>
              <w:rPr>
                <w:rFonts w:hint="eastAsia" w:ascii="宋体" w:hAnsi="宋体"/>
                <w:b/>
                <w:szCs w:val="21"/>
              </w:rPr>
              <w:t>2.评价机制的新建构。</w:t>
            </w:r>
          </w:p>
          <w:p>
            <w:pPr>
              <w:spacing w:line="360" w:lineRule="exact"/>
              <w:ind w:right="-107" w:rightChars="-51" w:firstLine="420" w:firstLineChars="200"/>
              <w:rPr>
                <w:rFonts w:hint="eastAsia" w:ascii="宋体" w:hAnsi="宋体"/>
                <w:bCs/>
                <w:szCs w:val="21"/>
              </w:rPr>
            </w:pPr>
            <w:r>
              <w:rPr>
                <w:rFonts w:hint="eastAsia" w:ascii="宋体" w:hAnsi="宋体"/>
                <w:bCs/>
                <w:szCs w:val="21"/>
              </w:rPr>
              <w:t>本课题的研究，试图回答综合实践活动课程目标、学生课程学习、课程评价三者之间的关系，建构起以表现性评价为核心，具有明确指向、现实依据、评价规则相统一的综合实践活动评价模型，具有重要的实践意义。</w:t>
            </w:r>
          </w:p>
          <w:p>
            <w:pPr>
              <w:spacing w:line="360" w:lineRule="exact"/>
              <w:ind w:right="-107" w:rightChars="-51" w:firstLine="422" w:firstLineChars="200"/>
              <w:rPr>
                <w:rFonts w:hint="eastAsia" w:ascii="宋体" w:hAnsi="宋体"/>
                <w:b/>
                <w:szCs w:val="21"/>
              </w:rPr>
            </w:pPr>
            <w:r>
              <w:rPr>
                <w:rFonts w:hint="eastAsia" w:ascii="宋体" w:hAnsi="宋体"/>
                <w:b/>
                <w:szCs w:val="21"/>
              </w:rPr>
              <w:t>3.评价策略的新总结。</w:t>
            </w:r>
          </w:p>
          <w:p>
            <w:pPr>
              <w:keepNext w:val="0"/>
              <w:keepLines w:val="0"/>
              <w:pageBreakBefore w:val="0"/>
              <w:widowControl w:val="0"/>
              <w:kinsoku/>
              <w:wordWrap/>
              <w:overflowPunct/>
              <w:topLinePunct w:val="0"/>
              <w:autoSpaceDE/>
              <w:autoSpaceDN/>
              <w:bidi w:val="0"/>
              <w:adjustRightInd/>
              <w:snapToGrid/>
              <w:spacing w:after="157" w:afterLines="50" w:line="360" w:lineRule="exact"/>
              <w:ind w:right="-107" w:rightChars="-51" w:firstLine="420" w:firstLineChars="200"/>
              <w:textAlignment w:val="auto"/>
              <w:rPr>
                <w:rFonts w:hint="eastAsia" w:ascii="华文细黑" w:hAnsi="华文细黑" w:eastAsia="华文细黑"/>
                <w:szCs w:val="21"/>
              </w:rPr>
            </w:pPr>
            <w:r>
              <w:rPr>
                <w:rFonts w:hint="eastAsia" w:ascii="宋体" w:hAnsi="宋体"/>
                <w:bCs/>
                <w:szCs w:val="21"/>
              </w:rPr>
              <w:t>通过深入的实践探索，在评价主体参与方式、评价目标的分析与确定、评价信息的采集与整理、评价活动的有序有效展开、评价结果作用发挥等方面，生成鲜活的实践经验，形成系统的课程评价策略。</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46" w:hRule="atLeast"/>
        </w:trPr>
        <w:tc>
          <w:tcPr>
            <w:tcW w:w="9180" w:type="dxa"/>
            <w:gridSpan w:val="4"/>
            <w:tcBorders>
              <w:top w:val="single" w:color="auto" w:sz="4" w:space="0"/>
              <w:left w:val="single" w:color="auto" w:sz="4" w:space="0"/>
              <w:bottom w:val="dotted" w:color="auto" w:sz="4" w:space="0"/>
              <w:right w:val="single" w:color="auto" w:sz="4" w:space="0"/>
            </w:tcBorders>
            <w:noWrap w:val="0"/>
            <w:vAlign w:val="center"/>
          </w:tcPr>
          <w:p>
            <w:pPr>
              <w:spacing w:line="360" w:lineRule="exact"/>
              <w:ind w:right="-107" w:rightChars="-51" w:firstLine="120" w:firstLineChars="50"/>
              <w:jc w:val="both"/>
              <w:rPr>
                <w:rFonts w:hint="eastAsia" w:ascii="新宋体" w:hAnsi="新宋体" w:eastAsia="新宋体"/>
                <w:b/>
                <w:sz w:val="24"/>
              </w:rPr>
            </w:pPr>
            <w:r>
              <w:rPr>
                <w:rFonts w:hint="eastAsia" w:ascii="新宋体" w:hAnsi="新宋体" w:eastAsia="新宋体"/>
                <w:b/>
                <w:sz w:val="24"/>
              </w:rPr>
              <w:t>（六）预期研究成果</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0"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right="-107" w:rightChars="-51"/>
              <w:rPr>
                <w:rFonts w:hint="eastAsia" w:ascii="宋体" w:hAnsi="宋体"/>
                <w:b/>
                <w:szCs w:val="21"/>
              </w:rPr>
            </w:pPr>
          </w:p>
        </w:tc>
        <w:tc>
          <w:tcPr>
            <w:tcW w:w="54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7" w:rightChars="-51"/>
              <w:jc w:val="center"/>
              <w:rPr>
                <w:rFonts w:hint="eastAsia" w:ascii="新宋体" w:hAnsi="新宋体" w:eastAsia="新宋体"/>
                <w:b/>
                <w:szCs w:val="21"/>
              </w:rPr>
            </w:pPr>
            <w:r>
              <w:rPr>
                <w:rFonts w:hint="eastAsia" w:ascii="新宋体" w:hAnsi="新宋体" w:eastAsia="新宋体"/>
                <w:b/>
                <w:szCs w:val="21"/>
              </w:rPr>
              <w:t>成果名称</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7" w:rightChars="-51"/>
              <w:jc w:val="center"/>
              <w:rPr>
                <w:rFonts w:hint="eastAsia" w:ascii="新宋体" w:hAnsi="新宋体" w:eastAsia="新宋体"/>
                <w:b/>
                <w:szCs w:val="21"/>
              </w:rPr>
            </w:pPr>
            <w:r>
              <w:rPr>
                <w:rFonts w:hint="eastAsia" w:ascii="新宋体" w:hAnsi="新宋体" w:eastAsia="新宋体"/>
                <w:b/>
                <w:szCs w:val="21"/>
              </w:rPr>
              <w:t>成果形式</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7" w:rightChars="-51"/>
              <w:jc w:val="center"/>
              <w:rPr>
                <w:rFonts w:hint="eastAsia" w:ascii="新宋体" w:hAnsi="新宋体" w:eastAsia="新宋体"/>
                <w:b/>
                <w:szCs w:val="21"/>
              </w:rPr>
            </w:pPr>
            <w:r>
              <w:rPr>
                <w:rFonts w:hint="eastAsia" w:ascii="新宋体" w:hAnsi="新宋体" w:eastAsia="新宋体"/>
                <w:b/>
                <w:szCs w:val="21"/>
              </w:rPr>
              <w:t>完成时间</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4" w:hRule="atLeast"/>
        </w:trPr>
        <w:tc>
          <w:tcPr>
            <w:tcW w:w="1080" w:type="dxa"/>
            <w:vMerge w:val="restart"/>
            <w:tcBorders>
              <w:top w:val="single" w:color="auto" w:sz="4" w:space="0"/>
              <w:left w:val="single" w:color="auto" w:sz="4" w:space="0"/>
              <w:right w:val="single" w:color="auto" w:sz="4" w:space="0"/>
            </w:tcBorders>
            <w:noWrap w:val="0"/>
            <w:vAlign w:val="center"/>
          </w:tcPr>
          <w:p>
            <w:pPr>
              <w:spacing w:line="360" w:lineRule="exact"/>
              <w:ind w:right="-107" w:rightChars="-51"/>
              <w:rPr>
                <w:rFonts w:hint="eastAsia" w:ascii="新宋体" w:hAnsi="新宋体" w:eastAsia="新宋体"/>
                <w:b/>
                <w:szCs w:val="21"/>
              </w:rPr>
            </w:pPr>
            <w:r>
              <w:rPr>
                <w:rFonts w:hint="eastAsia" w:ascii="新宋体" w:hAnsi="新宋体" w:eastAsia="新宋体"/>
                <w:b/>
                <w:szCs w:val="21"/>
              </w:rPr>
              <w:t>阶段成果（限5项）</w:t>
            </w:r>
          </w:p>
        </w:tc>
        <w:tc>
          <w:tcPr>
            <w:tcW w:w="54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9" w:leftChars="9" w:right="4" w:rightChars="0"/>
              <w:rPr>
                <w:rFonts w:hint="eastAsia" w:ascii="宋体" w:hAnsi="宋体"/>
                <w:b/>
                <w:szCs w:val="21"/>
              </w:rPr>
            </w:pPr>
            <w:r>
              <w:rPr>
                <w:rFonts w:hint="eastAsia" w:ascii="宋体" w:hAnsi="宋体" w:cs="宋体"/>
                <w:bCs/>
                <w:szCs w:val="21"/>
              </w:rPr>
              <w:t>关于综合实践活动评价研究的文献综述</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42" w:rightChars="20"/>
              <w:jc w:val="center"/>
              <w:rPr>
                <w:rFonts w:hint="eastAsia" w:ascii="宋体" w:hAnsi="宋体"/>
                <w:b/>
                <w:szCs w:val="21"/>
              </w:rPr>
            </w:pPr>
            <w:r>
              <w:rPr>
                <w:rFonts w:hint="eastAsia" w:ascii="宋体" w:hAnsi="宋体" w:cs="宋体"/>
                <w:bCs/>
                <w:szCs w:val="21"/>
              </w:rPr>
              <w:t>综述报告</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7" w:rightChars="-51"/>
              <w:jc w:val="center"/>
              <w:rPr>
                <w:rFonts w:hint="eastAsia" w:ascii="宋体" w:hAnsi="宋体"/>
                <w:b/>
                <w:szCs w:val="21"/>
              </w:rPr>
            </w:pPr>
            <w:r>
              <w:rPr>
                <w:rFonts w:hint="eastAsia" w:ascii="宋体" w:hAnsi="宋体" w:cs="宋体"/>
                <w:bCs/>
                <w:spacing w:val="-11"/>
                <w:szCs w:val="21"/>
              </w:rPr>
              <w:t>2020年6月</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4" w:hRule="atLeast"/>
        </w:trPr>
        <w:tc>
          <w:tcPr>
            <w:tcW w:w="1080" w:type="dxa"/>
            <w:vMerge w:val="continue"/>
            <w:tcBorders>
              <w:left w:val="single" w:color="auto" w:sz="4" w:space="0"/>
              <w:right w:val="single" w:color="auto" w:sz="4" w:space="0"/>
            </w:tcBorders>
            <w:noWrap w:val="0"/>
            <w:vAlign w:val="center"/>
          </w:tcPr>
          <w:p>
            <w:pPr>
              <w:spacing w:line="360" w:lineRule="exact"/>
              <w:ind w:right="-107" w:rightChars="-51"/>
              <w:jc w:val="center"/>
              <w:rPr>
                <w:rFonts w:hint="eastAsia" w:ascii="新宋体" w:hAnsi="新宋体" w:eastAsia="新宋体"/>
                <w:b/>
                <w:szCs w:val="21"/>
              </w:rPr>
            </w:pPr>
          </w:p>
        </w:tc>
        <w:tc>
          <w:tcPr>
            <w:tcW w:w="54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9" w:leftChars="9" w:right="4" w:rightChars="0"/>
              <w:rPr>
                <w:rFonts w:hint="eastAsia" w:ascii="宋体" w:hAnsi="宋体"/>
                <w:b/>
                <w:szCs w:val="21"/>
              </w:rPr>
            </w:pPr>
            <w:r>
              <w:rPr>
                <w:rFonts w:hint="eastAsia" w:ascii="宋体" w:hAnsi="宋体" w:cs="宋体"/>
                <w:bCs/>
                <w:szCs w:val="21"/>
              </w:rPr>
              <w:t>小学综合实践活动课程评价现状的调查与分析</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42" w:rightChars="20"/>
              <w:jc w:val="center"/>
              <w:rPr>
                <w:rFonts w:hint="eastAsia" w:ascii="宋体" w:hAnsi="宋体"/>
                <w:b/>
                <w:szCs w:val="21"/>
              </w:rPr>
            </w:pPr>
            <w:r>
              <w:rPr>
                <w:rFonts w:hint="eastAsia" w:ascii="宋体" w:hAnsi="宋体" w:cs="宋体"/>
                <w:bCs/>
                <w:szCs w:val="21"/>
              </w:rPr>
              <w:t>调查报告</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7" w:rightChars="-51"/>
              <w:jc w:val="center"/>
              <w:rPr>
                <w:rFonts w:hint="eastAsia" w:ascii="宋体" w:hAnsi="宋体"/>
                <w:b/>
                <w:szCs w:val="21"/>
              </w:rPr>
            </w:pPr>
            <w:r>
              <w:rPr>
                <w:rFonts w:hint="eastAsia" w:ascii="宋体" w:hAnsi="宋体" w:cs="宋体"/>
                <w:bCs/>
                <w:spacing w:val="-11"/>
                <w:szCs w:val="21"/>
              </w:rPr>
              <w:t>2020年6月</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4" w:hRule="atLeast"/>
        </w:trPr>
        <w:tc>
          <w:tcPr>
            <w:tcW w:w="1080" w:type="dxa"/>
            <w:vMerge w:val="continue"/>
            <w:tcBorders>
              <w:left w:val="single" w:color="auto" w:sz="4" w:space="0"/>
              <w:right w:val="single" w:color="auto" w:sz="4" w:space="0"/>
            </w:tcBorders>
            <w:noWrap w:val="0"/>
            <w:vAlign w:val="center"/>
          </w:tcPr>
          <w:p>
            <w:pPr>
              <w:spacing w:line="360" w:lineRule="exact"/>
              <w:ind w:right="-107" w:rightChars="-51"/>
              <w:jc w:val="center"/>
              <w:rPr>
                <w:rFonts w:hint="eastAsia" w:ascii="新宋体" w:hAnsi="新宋体" w:eastAsia="新宋体"/>
                <w:b/>
                <w:szCs w:val="21"/>
              </w:rPr>
            </w:pPr>
          </w:p>
        </w:tc>
        <w:tc>
          <w:tcPr>
            <w:tcW w:w="54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9" w:leftChars="9" w:right="4" w:rightChars="0"/>
              <w:rPr>
                <w:rFonts w:hint="eastAsia" w:ascii="宋体" w:hAnsi="宋体"/>
                <w:b/>
                <w:szCs w:val="21"/>
              </w:rPr>
            </w:pPr>
            <w:r>
              <w:rPr>
                <w:rFonts w:hint="eastAsia" w:ascii="宋体" w:hAnsi="宋体" w:cs="宋体"/>
                <w:bCs/>
                <w:szCs w:val="21"/>
              </w:rPr>
              <w:t>小学综合实践活动能级表现性目标框架</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42" w:rightChars="20"/>
              <w:jc w:val="center"/>
              <w:rPr>
                <w:rFonts w:hint="eastAsia" w:ascii="宋体" w:hAnsi="宋体"/>
                <w:b/>
                <w:szCs w:val="21"/>
              </w:rPr>
            </w:pPr>
            <w:r>
              <w:rPr>
                <w:rFonts w:hint="eastAsia" w:ascii="宋体" w:hAnsi="宋体" w:cs="宋体"/>
                <w:bCs/>
                <w:szCs w:val="21"/>
              </w:rPr>
              <w:t>指标方案</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7" w:rightChars="-51"/>
              <w:jc w:val="center"/>
              <w:rPr>
                <w:rFonts w:hint="eastAsia" w:ascii="宋体" w:hAnsi="宋体"/>
                <w:b/>
                <w:szCs w:val="21"/>
              </w:rPr>
            </w:pPr>
            <w:r>
              <w:rPr>
                <w:rFonts w:hint="eastAsia" w:ascii="宋体" w:hAnsi="宋体" w:cs="宋体"/>
                <w:bCs/>
                <w:spacing w:val="-11"/>
                <w:szCs w:val="21"/>
              </w:rPr>
              <w:t>2020年12月</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4" w:hRule="atLeast"/>
        </w:trPr>
        <w:tc>
          <w:tcPr>
            <w:tcW w:w="1080" w:type="dxa"/>
            <w:vMerge w:val="continue"/>
            <w:tcBorders>
              <w:left w:val="single" w:color="auto" w:sz="4" w:space="0"/>
              <w:right w:val="single" w:color="auto" w:sz="4" w:space="0"/>
            </w:tcBorders>
            <w:noWrap w:val="0"/>
            <w:vAlign w:val="center"/>
          </w:tcPr>
          <w:p>
            <w:pPr>
              <w:spacing w:line="360" w:lineRule="exact"/>
              <w:ind w:right="-107" w:rightChars="-51"/>
              <w:jc w:val="center"/>
              <w:rPr>
                <w:rFonts w:hint="eastAsia" w:ascii="新宋体" w:hAnsi="新宋体" w:eastAsia="新宋体"/>
                <w:b/>
                <w:szCs w:val="21"/>
              </w:rPr>
            </w:pPr>
          </w:p>
        </w:tc>
        <w:tc>
          <w:tcPr>
            <w:tcW w:w="54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9" w:leftChars="9" w:right="4" w:rightChars="0"/>
              <w:rPr>
                <w:rFonts w:hint="eastAsia" w:ascii="宋体" w:hAnsi="宋体"/>
                <w:b/>
                <w:szCs w:val="21"/>
              </w:rPr>
            </w:pPr>
            <w:r>
              <w:rPr>
                <w:rFonts w:hint="eastAsia" w:ascii="宋体" w:hAnsi="宋体" w:cs="宋体"/>
                <w:bCs/>
                <w:szCs w:val="21"/>
              </w:rPr>
              <w:t>小学综合实践活动写实记录的内容与方式</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42" w:rightChars="20"/>
              <w:jc w:val="center"/>
              <w:rPr>
                <w:rFonts w:hint="eastAsia" w:ascii="宋体" w:hAnsi="宋体"/>
                <w:b/>
                <w:szCs w:val="21"/>
              </w:rPr>
            </w:pPr>
            <w:r>
              <w:rPr>
                <w:rFonts w:hint="eastAsia" w:ascii="宋体" w:hAnsi="宋体" w:cs="宋体"/>
                <w:bCs/>
                <w:szCs w:val="21"/>
              </w:rPr>
              <w:t>论文、案例</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7" w:rightChars="-51"/>
              <w:jc w:val="center"/>
              <w:rPr>
                <w:rFonts w:hint="eastAsia" w:ascii="宋体" w:hAnsi="宋体"/>
                <w:b/>
                <w:szCs w:val="21"/>
              </w:rPr>
            </w:pPr>
            <w:r>
              <w:rPr>
                <w:rFonts w:hint="eastAsia" w:ascii="宋体" w:hAnsi="宋体" w:cs="宋体"/>
                <w:bCs/>
                <w:spacing w:val="-11"/>
                <w:szCs w:val="21"/>
              </w:rPr>
              <w:t>2021年12月</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4" w:hRule="atLeast"/>
        </w:trPr>
        <w:tc>
          <w:tcPr>
            <w:tcW w:w="1080" w:type="dxa"/>
            <w:vMerge w:val="continue"/>
            <w:tcBorders>
              <w:left w:val="single" w:color="auto" w:sz="4" w:space="0"/>
              <w:bottom w:val="single" w:color="auto" w:sz="4" w:space="0"/>
              <w:right w:val="single" w:color="auto" w:sz="4" w:space="0"/>
            </w:tcBorders>
            <w:noWrap w:val="0"/>
            <w:vAlign w:val="center"/>
          </w:tcPr>
          <w:p>
            <w:pPr>
              <w:spacing w:line="360" w:lineRule="exact"/>
              <w:ind w:right="-107" w:rightChars="-51"/>
              <w:jc w:val="center"/>
              <w:rPr>
                <w:rFonts w:hint="eastAsia" w:ascii="新宋体" w:hAnsi="新宋体" w:eastAsia="新宋体"/>
                <w:b/>
                <w:szCs w:val="21"/>
              </w:rPr>
            </w:pPr>
          </w:p>
        </w:tc>
        <w:tc>
          <w:tcPr>
            <w:tcW w:w="54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9" w:leftChars="9" w:right="4" w:rightChars="0"/>
              <w:rPr>
                <w:rFonts w:hint="eastAsia" w:ascii="宋体" w:hAnsi="宋体"/>
                <w:b/>
                <w:szCs w:val="21"/>
              </w:rPr>
            </w:pPr>
            <w:r>
              <w:rPr>
                <w:rFonts w:hint="eastAsia" w:ascii="宋体" w:hAnsi="宋体" w:cs="宋体"/>
                <w:bCs/>
                <w:szCs w:val="21"/>
              </w:rPr>
              <w:t>基于写实记录的小学综合实践活动表现性评价策略</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42" w:rightChars="20"/>
              <w:jc w:val="center"/>
              <w:rPr>
                <w:rFonts w:hint="eastAsia" w:ascii="宋体" w:hAnsi="宋体"/>
                <w:b/>
                <w:szCs w:val="21"/>
              </w:rPr>
            </w:pPr>
            <w:r>
              <w:rPr>
                <w:rFonts w:hint="eastAsia" w:ascii="宋体" w:hAnsi="宋体" w:cs="宋体"/>
                <w:bCs/>
                <w:szCs w:val="21"/>
              </w:rPr>
              <w:t>论文、案例</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7" w:rightChars="-51"/>
              <w:jc w:val="center"/>
              <w:rPr>
                <w:rFonts w:hint="eastAsia" w:ascii="宋体" w:hAnsi="宋体"/>
                <w:b/>
                <w:szCs w:val="21"/>
              </w:rPr>
            </w:pPr>
            <w:r>
              <w:rPr>
                <w:rFonts w:hint="eastAsia" w:ascii="宋体" w:hAnsi="宋体" w:cs="宋体"/>
                <w:bCs/>
                <w:spacing w:val="-11"/>
                <w:szCs w:val="21"/>
              </w:rPr>
              <w:t>2021年12月</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4" w:hRule="atLeast"/>
        </w:trPr>
        <w:tc>
          <w:tcPr>
            <w:tcW w:w="1080" w:type="dxa"/>
            <w:vMerge w:val="restart"/>
            <w:tcBorders>
              <w:top w:val="single" w:color="auto" w:sz="4" w:space="0"/>
              <w:left w:val="single" w:color="auto" w:sz="4" w:space="0"/>
              <w:right w:val="single" w:color="auto" w:sz="4" w:space="0"/>
            </w:tcBorders>
            <w:noWrap w:val="0"/>
            <w:vAlign w:val="center"/>
          </w:tcPr>
          <w:p>
            <w:pPr>
              <w:spacing w:line="360" w:lineRule="exact"/>
              <w:ind w:right="-107" w:rightChars="-51"/>
              <w:rPr>
                <w:rFonts w:hint="eastAsia" w:ascii="新宋体" w:hAnsi="新宋体" w:eastAsia="新宋体"/>
                <w:b/>
                <w:szCs w:val="21"/>
              </w:rPr>
            </w:pPr>
            <w:r>
              <w:rPr>
                <w:rFonts w:hint="eastAsia" w:ascii="新宋体" w:hAnsi="新宋体" w:eastAsia="新宋体"/>
                <w:b/>
                <w:szCs w:val="21"/>
              </w:rPr>
              <w:t>最终成果（限3项）</w:t>
            </w:r>
          </w:p>
        </w:tc>
        <w:tc>
          <w:tcPr>
            <w:tcW w:w="54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9" w:leftChars="9" w:right="4" w:rightChars="0"/>
              <w:rPr>
                <w:rFonts w:hint="eastAsia" w:ascii="宋体" w:hAnsi="宋体"/>
                <w:b/>
                <w:szCs w:val="21"/>
              </w:rPr>
            </w:pPr>
            <w:r>
              <w:rPr>
                <w:rFonts w:hint="eastAsia" w:ascii="宋体" w:hAnsi="宋体" w:cs="宋体"/>
                <w:bCs/>
                <w:spacing w:val="-6"/>
                <w:szCs w:val="21"/>
              </w:rPr>
              <w:t>基于写实记录的小学综合实践活动表现性评价研究报告</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7" w:rightChars="-51"/>
              <w:jc w:val="center"/>
              <w:rPr>
                <w:rFonts w:hint="eastAsia" w:ascii="宋体" w:hAnsi="宋体"/>
                <w:b/>
                <w:szCs w:val="21"/>
              </w:rPr>
            </w:pPr>
            <w:r>
              <w:rPr>
                <w:rFonts w:hint="eastAsia" w:ascii="宋体" w:hAnsi="宋体" w:cs="宋体"/>
                <w:bCs/>
                <w:szCs w:val="21"/>
              </w:rPr>
              <w:t>研究报告</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7" w:rightChars="-51"/>
              <w:jc w:val="center"/>
              <w:rPr>
                <w:rFonts w:hint="eastAsia" w:ascii="宋体" w:hAnsi="宋体"/>
                <w:b/>
                <w:szCs w:val="21"/>
              </w:rPr>
            </w:pPr>
            <w:r>
              <w:rPr>
                <w:rFonts w:hint="eastAsia" w:ascii="宋体" w:hAnsi="宋体" w:cs="宋体"/>
                <w:bCs/>
                <w:spacing w:val="-11"/>
                <w:szCs w:val="21"/>
              </w:rPr>
              <w:t>2022年6月</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4" w:hRule="atLeast"/>
        </w:trPr>
        <w:tc>
          <w:tcPr>
            <w:tcW w:w="1080" w:type="dxa"/>
            <w:vMerge w:val="continue"/>
            <w:tcBorders>
              <w:left w:val="single" w:color="auto" w:sz="4" w:space="0"/>
              <w:right w:val="single" w:color="auto" w:sz="4" w:space="0"/>
            </w:tcBorders>
            <w:noWrap w:val="0"/>
            <w:vAlign w:val="center"/>
          </w:tcPr>
          <w:p>
            <w:pPr>
              <w:spacing w:line="360" w:lineRule="exact"/>
              <w:ind w:right="-107" w:rightChars="-51"/>
              <w:jc w:val="center"/>
              <w:rPr>
                <w:rFonts w:hint="eastAsia" w:ascii="宋体" w:hAnsi="宋体"/>
                <w:szCs w:val="21"/>
              </w:rPr>
            </w:pPr>
          </w:p>
        </w:tc>
        <w:tc>
          <w:tcPr>
            <w:tcW w:w="54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9" w:leftChars="9" w:right="4" w:rightChars="0"/>
              <w:rPr>
                <w:rFonts w:hint="eastAsia" w:ascii="宋体" w:hAnsi="宋体"/>
                <w:b/>
                <w:szCs w:val="21"/>
              </w:rPr>
            </w:pPr>
            <w:r>
              <w:rPr>
                <w:rFonts w:hint="eastAsia" w:ascii="宋体" w:hAnsi="宋体" w:cs="宋体"/>
                <w:bCs/>
                <w:spacing w:val="-11"/>
                <w:szCs w:val="21"/>
              </w:rPr>
              <w:t>基于写实记录的小学综合实践活动表现性评价研究系列论文</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7" w:rightChars="-51"/>
              <w:jc w:val="center"/>
              <w:rPr>
                <w:rFonts w:hint="eastAsia" w:ascii="宋体" w:hAnsi="宋体"/>
                <w:b/>
                <w:szCs w:val="21"/>
              </w:rPr>
            </w:pPr>
            <w:r>
              <w:rPr>
                <w:rFonts w:hint="eastAsia" w:ascii="宋体" w:hAnsi="宋体" w:cs="宋体"/>
                <w:bCs/>
                <w:szCs w:val="21"/>
              </w:rPr>
              <w:t>论文集</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7" w:rightChars="-51"/>
              <w:jc w:val="center"/>
              <w:rPr>
                <w:rFonts w:hint="eastAsia" w:ascii="宋体" w:hAnsi="宋体"/>
                <w:b/>
                <w:szCs w:val="21"/>
              </w:rPr>
            </w:pPr>
            <w:r>
              <w:rPr>
                <w:rFonts w:hint="eastAsia" w:ascii="宋体" w:hAnsi="宋体" w:cs="宋体"/>
                <w:bCs/>
                <w:spacing w:val="-11"/>
                <w:szCs w:val="21"/>
              </w:rPr>
              <w:t>2022年6月</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4" w:hRule="atLeast"/>
        </w:trPr>
        <w:tc>
          <w:tcPr>
            <w:tcW w:w="1080" w:type="dxa"/>
            <w:vMerge w:val="continue"/>
            <w:tcBorders>
              <w:left w:val="single" w:color="auto" w:sz="4" w:space="0"/>
              <w:bottom w:val="single" w:color="auto" w:sz="4" w:space="0"/>
              <w:right w:val="single" w:color="auto" w:sz="4" w:space="0"/>
            </w:tcBorders>
            <w:noWrap w:val="0"/>
            <w:vAlign w:val="center"/>
          </w:tcPr>
          <w:p>
            <w:pPr>
              <w:spacing w:line="360" w:lineRule="exact"/>
              <w:ind w:right="-107" w:rightChars="-51"/>
              <w:jc w:val="center"/>
              <w:rPr>
                <w:rFonts w:hint="eastAsia" w:ascii="宋体" w:hAnsi="宋体"/>
                <w:szCs w:val="21"/>
              </w:rPr>
            </w:pPr>
          </w:p>
        </w:tc>
        <w:tc>
          <w:tcPr>
            <w:tcW w:w="54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9" w:leftChars="9" w:right="4" w:rightChars="0"/>
              <w:rPr>
                <w:rFonts w:hint="eastAsia" w:ascii="宋体" w:hAnsi="宋体"/>
                <w:b/>
                <w:szCs w:val="21"/>
              </w:rPr>
            </w:pPr>
            <w:r>
              <w:rPr>
                <w:rFonts w:hint="eastAsia" w:ascii="宋体" w:hAnsi="宋体" w:cs="宋体"/>
                <w:bCs/>
                <w:spacing w:val="-6"/>
                <w:szCs w:val="21"/>
              </w:rPr>
              <w:t>基于写实记录的小学综合实践活动表现性评价研究案例</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7" w:rightChars="-51"/>
              <w:jc w:val="center"/>
              <w:rPr>
                <w:rFonts w:hint="eastAsia" w:ascii="宋体" w:hAnsi="宋体"/>
                <w:b/>
                <w:szCs w:val="21"/>
              </w:rPr>
            </w:pPr>
            <w:r>
              <w:rPr>
                <w:rFonts w:hint="eastAsia" w:ascii="宋体" w:hAnsi="宋体" w:cs="宋体"/>
                <w:bCs/>
                <w:szCs w:val="21"/>
              </w:rPr>
              <w:t>实践案例集</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7" w:rightChars="-51"/>
              <w:jc w:val="center"/>
              <w:rPr>
                <w:rFonts w:hint="eastAsia" w:ascii="宋体" w:hAnsi="宋体"/>
                <w:b/>
                <w:szCs w:val="21"/>
              </w:rPr>
            </w:pPr>
            <w:r>
              <w:rPr>
                <w:rFonts w:hint="eastAsia" w:ascii="宋体" w:hAnsi="宋体" w:cs="宋体"/>
                <w:bCs/>
                <w:spacing w:val="-11"/>
                <w:szCs w:val="21"/>
              </w:rPr>
              <w:t>2022年6月</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9" w:hRule="atLeast"/>
        </w:trPr>
        <w:tc>
          <w:tcPr>
            <w:tcW w:w="9180" w:type="dxa"/>
            <w:gridSpan w:val="4"/>
            <w:tcBorders>
              <w:top w:val="single" w:color="auto" w:sz="4" w:space="0"/>
              <w:left w:val="single" w:color="auto" w:sz="4" w:space="0"/>
              <w:bottom w:val="single" w:color="auto" w:sz="4" w:space="0"/>
              <w:right w:val="single" w:color="auto" w:sz="4" w:space="0"/>
            </w:tcBorders>
            <w:noWrap w:val="0"/>
            <w:vAlign w:val="top"/>
          </w:tcPr>
          <w:p>
            <w:pPr>
              <w:spacing w:line="300" w:lineRule="exact"/>
              <w:ind w:right="4" w:rightChars="0"/>
              <w:rPr>
                <w:rFonts w:hint="eastAsia" w:ascii="新宋体" w:hAnsi="新宋体" w:eastAsia="新宋体"/>
                <w:b/>
                <w:szCs w:val="21"/>
              </w:rPr>
            </w:pPr>
            <w:r>
              <w:rPr>
                <w:rFonts w:hint="eastAsia" w:ascii="新宋体" w:hAnsi="新宋体" w:eastAsia="新宋体"/>
                <w:b/>
                <w:szCs w:val="21"/>
              </w:rPr>
              <w:t>（七）完成研究任务的可行性分析（包括：①课题组核心成员的学术或学科背景、研究经历、研究能力、研究成果；②围绕本课题所开展的前期准备工作，包括文献搜集工作、调研工作等；③完成研究任务的保障条件，包括研究资料的获得、研究经费的筹措、研究时间的保障等。）</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9" w:hRule="atLeast"/>
        </w:trPr>
        <w:tc>
          <w:tcPr>
            <w:tcW w:w="9180"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22" w:firstLineChars="200"/>
              <w:rPr>
                <w:rFonts w:hint="eastAsia" w:ascii="宋体" w:hAnsi="宋体" w:cs="宋体"/>
                <w:b/>
                <w:bCs/>
                <w:szCs w:val="21"/>
              </w:rPr>
            </w:pPr>
            <w:r>
              <w:rPr>
                <w:rFonts w:hint="eastAsia" w:ascii="宋体" w:hAnsi="宋体" w:cs="宋体"/>
                <w:b/>
                <w:bCs/>
                <w:szCs w:val="21"/>
              </w:rPr>
              <w:t>1.研究力量</w:t>
            </w:r>
          </w:p>
          <w:p>
            <w:pPr>
              <w:spacing w:line="360" w:lineRule="exact"/>
              <w:ind w:firstLine="420" w:firstLineChars="200"/>
              <w:rPr>
                <w:rFonts w:hint="eastAsia" w:ascii="宋体" w:hAnsi="宋体" w:cs="宋体"/>
                <w:szCs w:val="21"/>
              </w:rPr>
            </w:pPr>
            <w:r>
              <w:rPr>
                <w:rFonts w:hint="eastAsia" w:ascii="宋体" w:hAnsi="宋体" w:cs="宋体"/>
                <w:szCs w:val="21"/>
              </w:rPr>
              <w:t>课题申报单位为武进区综合实践活动课程教研基地，有着长期积累的课程实施与研究经验，有一支专兼职合理搭配、骨干教师比例较高、研究与实践能力较强的综合实践活动教师队伍。课题主持人是武进区小学综合实践活动兼职教研员、常州市学科带头人、综合实践活动高级教师，参与过两项省级课题的研究，获得过市、区级综合实践活动基本功比赛一、二等奖，多次执教省、市级综合实践活动示范课、研究课，在省级刊物发表数篇综合实践活动研究论文；另一位主持人长期承担综合实践活动指导任务，具有丰富的综合实践活动指导经验，曾获区综合实践活动基本功比赛一等奖，多次在市、区级课程研讨活动中执教公开课、研究课。其他核心成员大多为市、区两级综合实践活动课程学科带头人或骨干教师、研究中心组成员，其中省小学综合实践活动特级教师1人，主持过两项省级课题，多数成员参与过市级以上综合实践活动课题研究，部分成员参与了省教研室组织开发的小学综合实践活动成长手册和教师用书的编写，具有较强的研究能力。3位老师为综合实践活动专职教师，2位成员获得过省综合实践活动优质课评比一等奖，2位成员获常州市综合实践活动基本功比赛一等奖，6位老师在武进区小学综合实践活动或劳技基本功比赛中获一等奖，具有较强的实践能力。本项目既有具有理论研究专长的成员，又有在实践层面具有特长的教师，每一位研究成员在本学校、本地区都具有一定的专业影响力，整体研究力量较强。</w:t>
            </w:r>
          </w:p>
          <w:p>
            <w:pPr>
              <w:spacing w:line="360" w:lineRule="exact"/>
              <w:ind w:firstLine="422" w:firstLineChars="200"/>
              <w:rPr>
                <w:rFonts w:hint="eastAsia" w:ascii="宋体" w:hAnsi="宋体" w:cs="宋体"/>
                <w:b/>
                <w:bCs/>
                <w:szCs w:val="21"/>
              </w:rPr>
            </w:pPr>
            <w:r>
              <w:rPr>
                <w:rFonts w:hint="eastAsia" w:ascii="宋体" w:hAnsi="宋体" w:cs="宋体"/>
                <w:b/>
                <w:bCs/>
                <w:szCs w:val="21"/>
              </w:rPr>
              <w:t>2.已有基础</w:t>
            </w:r>
          </w:p>
          <w:p>
            <w:pPr>
              <w:spacing w:line="360" w:lineRule="exact"/>
              <w:ind w:firstLine="420" w:firstLineChars="200"/>
              <w:rPr>
                <w:rFonts w:hint="eastAsia" w:ascii="宋体" w:hAnsi="宋体" w:cs="宋体"/>
                <w:szCs w:val="21"/>
              </w:rPr>
            </w:pPr>
            <w:r>
              <w:rPr>
                <w:rFonts w:hint="eastAsia" w:ascii="宋体" w:hAnsi="宋体" w:cs="宋体"/>
                <w:szCs w:val="21"/>
              </w:rPr>
              <w:t>围绕本课题，课题组做了大量的文献搜集工作，</w:t>
            </w:r>
            <w:r>
              <w:rPr>
                <w:rFonts w:hint="eastAsia"/>
              </w:rPr>
              <w:t>课题组搜集到的与本课题相关的著作有：</w:t>
            </w:r>
            <w:r>
              <w:rPr>
                <w:rFonts w:hint="eastAsia"/>
                <w:lang w:eastAsia="zh-CN"/>
              </w:rPr>
              <w:t>⑴靳玉乐/张家军等，</w:t>
            </w:r>
            <w:r>
              <w:rPr>
                <w:rFonts w:hint="eastAsia"/>
              </w:rPr>
              <w:t>综合实践活动课程评价手册</w:t>
            </w:r>
            <w:r>
              <w:rPr>
                <w:rFonts w:hint="eastAsia"/>
                <w:lang w:eastAsia="zh-CN"/>
              </w:rPr>
              <w:t>，西南师大出版社，2017年12月；⑵周文叶，中小学表现性评价的理论与技术，华东师范大学出版社，2014年09月；⑶田中耕治，学习评价的挑战:表现性评价在学校中的应用，华东师范大学出版社，2015年06月；⑷柳夕浪，学生综合素质评价：怎么看？怎么办？，华东师范大学出版社，2015年12月。</w:t>
            </w:r>
            <w:r>
              <w:rPr>
                <w:rFonts w:hint="eastAsia" w:ascii="宋体" w:hAnsi="宋体" w:cs="宋体"/>
                <w:szCs w:val="21"/>
              </w:rPr>
              <w:t>通过筛选共搜集到与课题研究相关的质量较高的研究论文60余篇。通过访谈法对小学综合实践活动评价情况进行了初步调研，听取了综合实践活动课程骨干教师、学校的课程管理者和一线教师的意见，大家一致认为，当前课程评价问题已经成为制约综合实践活动课程发展的瓶颈之一，研究综合实践活动评价问题对于提升课程整体实施水平具有重大意义。</w:t>
            </w:r>
          </w:p>
          <w:p>
            <w:pPr>
              <w:spacing w:line="360" w:lineRule="exact"/>
              <w:ind w:firstLine="420" w:firstLineChars="200"/>
              <w:rPr>
                <w:rFonts w:hint="eastAsia" w:ascii="宋体" w:hAnsi="宋体" w:cs="宋体"/>
                <w:szCs w:val="21"/>
                <w:lang w:eastAsia="zh-CN"/>
              </w:rPr>
            </w:pPr>
            <w:r>
              <w:rPr>
                <w:rFonts w:hint="eastAsia" w:ascii="宋体" w:hAnsi="宋体" w:cs="宋体"/>
                <w:szCs w:val="21"/>
                <w:lang w:eastAsia="zh-CN"/>
              </w:rPr>
              <w:t>同时，</w:t>
            </w:r>
            <w:r>
              <w:rPr>
                <w:rFonts w:hint="eastAsia" w:ascii="宋体" w:hAnsi="宋体" w:cs="宋体"/>
                <w:szCs w:val="21"/>
              </w:rPr>
              <w:t>课题组</w:t>
            </w:r>
            <w:r>
              <w:rPr>
                <w:rFonts w:hint="eastAsia" w:ascii="宋体" w:hAnsi="宋体" w:cs="宋体"/>
                <w:szCs w:val="21"/>
                <w:lang w:eastAsia="zh-CN"/>
              </w:rPr>
              <w:t>部分</w:t>
            </w:r>
            <w:r>
              <w:rPr>
                <w:rFonts w:hint="eastAsia" w:ascii="宋体" w:hAnsi="宋体" w:cs="宋体"/>
                <w:szCs w:val="21"/>
              </w:rPr>
              <w:t>核心成员围绕综合实践活动表现性评价进行了一定的实践探索</w:t>
            </w:r>
            <w:r>
              <w:rPr>
                <w:rFonts w:hint="eastAsia" w:ascii="宋体" w:hAnsi="宋体" w:cs="宋体"/>
                <w:szCs w:val="21"/>
                <w:lang w:eastAsia="zh-CN"/>
              </w:rPr>
              <w:t>。在江苏省规划课题《小学综合实践活动方法指导的系列化、序列化、生活化研究》中，运用表现性评价对学生掌握研究方法的情况进行了专项评价，例如对“访谈法”相关内容的评价，尝试运用了整体性的表现性评价方法：</w:t>
            </w:r>
          </w:p>
          <w:tbl>
            <w:tblPr>
              <w:tblStyle w:val="5"/>
              <w:tblW w:w="8255"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50"/>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1130" w:type="dxa"/>
                  <w:noWrap w:val="0"/>
                  <w:vAlign w:val="center"/>
                </w:tcPr>
                <w:p>
                  <w:pPr>
                    <w:jc w:val="center"/>
                    <w:rPr>
                      <w:rFonts w:hint="eastAsia" w:ascii="仿宋_GB2312" w:eastAsia="仿宋_GB2312"/>
                      <w:lang w:eastAsia="zh-CN"/>
                    </w:rPr>
                  </w:pPr>
                  <w:r>
                    <w:rPr>
                      <w:rFonts w:hint="eastAsia" w:ascii="仿宋_GB2312" w:eastAsia="仿宋_GB2312"/>
                      <w:lang w:eastAsia="zh-CN"/>
                    </w:rPr>
                    <w:t>评价内容</w:t>
                  </w:r>
                </w:p>
              </w:tc>
              <w:tc>
                <w:tcPr>
                  <w:tcW w:w="7125" w:type="dxa"/>
                  <w:gridSpan w:val="2"/>
                  <w:noWrap w:val="0"/>
                  <w:vAlign w:val="center"/>
                </w:tcPr>
                <w:p>
                  <w:pPr>
                    <w:jc w:val="both"/>
                    <w:rPr>
                      <w:rFonts w:hint="eastAsia" w:ascii="仿宋_GB2312" w:eastAsia="仿宋_GB2312"/>
                      <w:lang w:eastAsia="zh-CN"/>
                    </w:rPr>
                  </w:pPr>
                  <w:r>
                    <w:rPr>
                      <w:rFonts w:hint="eastAsia" w:ascii="仿宋_GB2312" w:eastAsia="仿宋_GB2312"/>
                      <w:lang w:eastAsia="zh-CN"/>
                    </w:rPr>
                    <w:t>提出采访问题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1130" w:type="dxa"/>
                  <w:noWrap w:val="0"/>
                  <w:vAlign w:val="center"/>
                </w:tcPr>
                <w:p>
                  <w:pPr>
                    <w:jc w:val="center"/>
                    <w:rPr>
                      <w:rFonts w:hint="eastAsia" w:ascii="仿宋_GB2312" w:eastAsia="仿宋_GB2312"/>
                      <w:lang w:eastAsia="zh-CN"/>
                    </w:rPr>
                  </w:pPr>
                  <w:r>
                    <w:rPr>
                      <w:rFonts w:hint="eastAsia" w:ascii="仿宋_GB2312" w:eastAsia="仿宋_GB2312"/>
                      <w:lang w:eastAsia="zh-CN"/>
                    </w:rPr>
                    <w:t>表现任务</w:t>
                  </w:r>
                </w:p>
              </w:tc>
              <w:tc>
                <w:tcPr>
                  <w:tcW w:w="7125" w:type="dxa"/>
                  <w:gridSpan w:val="2"/>
                  <w:noWrap w:val="0"/>
                  <w:vAlign w:val="center"/>
                </w:tcPr>
                <w:p>
                  <w:pPr>
                    <w:rPr>
                      <w:rFonts w:hint="eastAsia" w:ascii="仿宋_GB2312" w:eastAsia="仿宋_GB2312"/>
                    </w:rPr>
                  </w:pPr>
                  <w:r>
                    <w:rPr>
                      <w:rFonts w:hint="eastAsia" w:ascii="仿宋_GB2312" w:eastAsia="仿宋_GB2312"/>
                    </w:rPr>
                    <w:t>为了深入研究小学生近视的现状、特点和主要原因，研究小组决定对眼科医院的医生进行一次采访。他们应该在采访中提出哪些问题呢？请你们共同努力，围绕研究的重点设计5个以上的采访问题，供他们选择。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1130" w:type="dxa"/>
                  <w:vMerge w:val="restart"/>
                  <w:noWrap w:val="0"/>
                  <w:vAlign w:val="center"/>
                </w:tcPr>
                <w:p>
                  <w:pPr>
                    <w:jc w:val="center"/>
                    <w:rPr>
                      <w:rFonts w:hint="eastAsia" w:ascii="仿宋_GB2312" w:eastAsia="仿宋_GB2312"/>
                    </w:rPr>
                  </w:pPr>
                  <w:r>
                    <w:rPr>
                      <w:rFonts w:hint="eastAsia" w:ascii="仿宋_GB2312" w:eastAsia="仿宋_GB2312"/>
                    </w:rPr>
                    <w:t>评价</w:t>
                  </w:r>
                </w:p>
                <w:p>
                  <w:pPr>
                    <w:jc w:val="center"/>
                    <w:rPr>
                      <w:rFonts w:hint="eastAsia" w:ascii="仿宋_GB2312" w:eastAsia="仿宋_GB2312"/>
                    </w:rPr>
                  </w:pPr>
                  <w:r>
                    <w:rPr>
                      <w:rFonts w:hint="eastAsia" w:ascii="仿宋_GB2312" w:eastAsia="仿宋_GB2312"/>
                    </w:rPr>
                    <w:t>标准</w:t>
                  </w:r>
                </w:p>
              </w:tc>
              <w:tc>
                <w:tcPr>
                  <w:tcW w:w="750" w:type="dxa"/>
                  <w:noWrap w:val="0"/>
                  <w:vAlign w:val="center"/>
                </w:tcPr>
                <w:p>
                  <w:pPr>
                    <w:jc w:val="center"/>
                    <w:rPr>
                      <w:rFonts w:hint="eastAsia" w:ascii="仿宋_GB2312" w:eastAsia="仿宋_GB2312"/>
                    </w:rPr>
                  </w:pPr>
                  <w:r>
                    <w:rPr>
                      <w:rFonts w:hint="eastAsia" w:ascii="仿宋_GB2312" w:eastAsia="仿宋_GB2312"/>
                    </w:rPr>
                    <w:t>等级</w:t>
                  </w:r>
                </w:p>
              </w:tc>
              <w:tc>
                <w:tcPr>
                  <w:tcW w:w="6375" w:type="dxa"/>
                  <w:noWrap w:val="0"/>
                  <w:vAlign w:val="center"/>
                </w:tcPr>
                <w:p>
                  <w:pPr>
                    <w:jc w:val="center"/>
                    <w:rPr>
                      <w:rFonts w:hint="eastAsia" w:ascii="仿宋_GB2312" w:eastAsia="仿宋_GB2312"/>
                    </w:rPr>
                  </w:pPr>
                  <w:r>
                    <w:rPr>
                      <w:rFonts w:hint="eastAsia" w:ascii="仿宋_GB2312" w:eastAsia="仿宋_GB2312"/>
                    </w:rPr>
                    <w:t>表现描述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Merge w:val="continue"/>
                  <w:noWrap w:val="0"/>
                  <w:vAlign w:val="center"/>
                </w:tcPr>
                <w:p>
                  <w:pPr>
                    <w:jc w:val="center"/>
                    <w:rPr>
                      <w:rFonts w:hint="eastAsia" w:ascii="仿宋_GB2312" w:eastAsia="仿宋_GB2312"/>
                    </w:rPr>
                  </w:pPr>
                </w:p>
              </w:tc>
              <w:tc>
                <w:tcPr>
                  <w:tcW w:w="750" w:type="dxa"/>
                  <w:noWrap w:val="0"/>
                  <w:vAlign w:val="center"/>
                </w:tcPr>
                <w:p>
                  <w:pPr>
                    <w:jc w:val="center"/>
                    <w:rPr>
                      <w:rFonts w:hint="eastAsia" w:ascii="仿宋_GB2312" w:eastAsia="仿宋_GB2312"/>
                    </w:rPr>
                  </w:pPr>
                  <w:r>
                    <w:rPr>
                      <w:rFonts w:hint="eastAsia" w:ascii="仿宋_GB2312" w:eastAsia="仿宋_GB2312"/>
                    </w:rPr>
                    <w:t>A</w:t>
                  </w:r>
                </w:p>
              </w:tc>
              <w:tc>
                <w:tcPr>
                  <w:tcW w:w="6375" w:type="dxa"/>
                  <w:noWrap w:val="0"/>
                  <w:vAlign w:val="top"/>
                </w:tcPr>
                <w:p>
                  <w:pPr>
                    <w:rPr>
                      <w:rFonts w:hint="eastAsia" w:ascii="仿宋_GB2312" w:eastAsia="仿宋_GB2312"/>
                    </w:rPr>
                  </w:pPr>
                  <w:r>
                    <w:rPr>
                      <w:rFonts w:hint="eastAsia" w:ascii="仿宋_GB2312" w:eastAsia="仿宋_GB2312"/>
                    </w:rPr>
                    <w:t>能紧扣近视的现状、特点和原因等进行设问；有效的采访问题在5个以上，且涉及多个角度；针对眼科医生的设问合理。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Merge w:val="continue"/>
                  <w:noWrap w:val="0"/>
                  <w:vAlign w:val="center"/>
                </w:tcPr>
                <w:p>
                  <w:pPr>
                    <w:jc w:val="center"/>
                    <w:rPr>
                      <w:rFonts w:hint="eastAsia" w:ascii="仿宋_GB2312" w:eastAsia="仿宋_GB2312"/>
                    </w:rPr>
                  </w:pPr>
                </w:p>
              </w:tc>
              <w:tc>
                <w:tcPr>
                  <w:tcW w:w="750" w:type="dxa"/>
                  <w:noWrap w:val="0"/>
                  <w:vAlign w:val="center"/>
                </w:tcPr>
                <w:p>
                  <w:pPr>
                    <w:jc w:val="center"/>
                    <w:rPr>
                      <w:rFonts w:hint="eastAsia" w:ascii="仿宋_GB2312" w:eastAsia="仿宋_GB2312"/>
                    </w:rPr>
                  </w:pPr>
                  <w:r>
                    <w:rPr>
                      <w:rFonts w:hint="eastAsia" w:ascii="仿宋_GB2312" w:eastAsia="仿宋_GB2312"/>
                    </w:rPr>
                    <w:t>B</w:t>
                  </w:r>
                </w:p>
              </w:tc>
              <w:tc>
                <w:tcPr>
                  <w:tcW w:w="6375" w:type="dxa"/>
                  <w:noWrap w:val="0"/>
                  <w:vAlign w:val="top"/>
                </w:tcPr>
                <w:p>
                  <w:pPr>
                    <w:rPr>
                      <w:rFonts w:hint="eastAsia" w:ascii="仿宋_GB2312" w:eastAsia="仿宋_GB2312"/>
                    </w:rPr>
                  </w:pPr>
                  <w:r>
                    <w:rPr>
                      <w:rFonts w:hint="eastAsia" w:ascii="仿宋_GB2312" w:eastAsia="仿宋_GB2312"/>
                    </w:rPr>
                    <w:t>均能围绕近视的话题展开设问；有效的采访问题在5个以上；针对眼科医生的设问合理。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Merge w:val="continue"/>
                  <w:noWrap w:val="0"/>
                  <w:vAlign w:val="center"/>
                </w:tcPr>
                <w:p>
                  <w:pPr>
                    <w:jc w:val="center"/>
                    <w:rPr>
                      <w:rFonts w:hint="eastAsia" w:ascii="仿宋_GB2312" w:eastAsia="仿宋_GB2312"/>
                    </w:rPr>
                  </w:pPr>
                </w:p>
              </w:tc>
              <w:tc>
                <w:tcPr>
                  <w:tcW w:w="750" w:type="dxa"/>
                  <w:noWrap w:val="0"/>
                  <w:vAlign w:val="center"/>
                </w:tcPr>
                <w:p>
                  <w:pPr>
                    <w:jc w:val="center"/>
                    <w:rPr>
                      <w:rFonts w:hint="eastAsia" w:ascii="仿宋_GB2312" w:eastAsia="仿宋_GB2312"/>
                    </w:rPr>
                  </w:pPr>
                  <w:r>
                    <w:rPr>
                      <w:rFonts w:hint="eastAsia" w:ascii="仿宋_GB2312" w:eastAsia="仿宋_GB2312"/>
                    </w:rPr>
                    <w:t>C</w:t>
                  </w:r>
                </w:p>
              </w:tc>
              <w:tc>
                <w:tcPr>
                  <w:tcW w:w="6375" w:type="dxa"/>
                  <w:noWrap w:val="0"/>
                  <w:vAlign w:val="top"/>
                </w:tcPr>
                <w:p>
                  <w:pPr>
                    <w:rPr>
                      <w:rFonts w:hint="eastAsia" w:ascii="仿宋_GB2312" w:eastAsia="仿宋_GB2312"/>
                    </w:rPr>
                  </w:pPr>
                  <w:r>
                    <w:rPr>
                      <w:rFonts w:hint="eastAsia" w:ascii="仿宋_GB2312" w:eastAsia="仿宋_GB2312"/>
                    </w:rPr>
                    <w:t>有效的采访问题在3个以下；问题设计的针对性不强。</w:t>
                  </w:r>
                </w:p>
              </w:tc>
            </w:tr>
          </w:tbl>
          <w:p>
            <w:pPr>
              <w:spacing w:line="360" w:lineRule="exact"/>
              <w:rPr>
                <w:rFonts w:hint="eastAsia" w:ascii="宋体" w:hAnsi="宋体" w:cs="宋体"/>
                <w:szCs w:val="21"/>
                <w:lang w:eastAsia="zh-CN"/>
              </w:rPr>
            </w:pPr>
            <w:r>
              <w:rPr>
                <w:rFonts w:hint="eastAsia" w:ascii="宋体" w:hAnsi="宋体" w:cs="宋体"/>
                <w:szCs w:val="21"/>
                <w:lang w:eastAsia="zh-CN"/>
              </w:rPr>
              <w:t>在综合实践活动实践操作课型中，设计和运用学生活动评价表，对学生的课堂活动进行过程性评价，如《整理书包》一课，尝试运用了活动评价表，进行分析性的表现性评价：</w:t>
            </w:r>
          </w:p>
          <w:tbl>
            <w:tblPr>
              <w:tblStyle w:val="4"/>
              <w:tblW w:w="712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1440"/>
              <w:gridCol w:w="1620"/>
              <w:gridCol w:w="1440"/>
              <w:gridCol w:w="14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4" w:hRule="exact"/>
                <w:jc w:val="center"/>
              </w:trPr>
              <w:tc>
                <w:tcPr>
                  <w:tcW w:w="7128" w:type="dxa"/>
                  <w:gridSpan w:val="5"/>
                  <w:shd w:val="clear" w:color="auto" w:fill="auto"/>
                  <w:noWrap w:val="0"/>
                  <w:vAlign w:val="center"/>
                </w:tcPr>
                <w:p>
                  <w:pPr>
                    <w:jc w:val="center"/>
                    <w:rPr>
                      <w:rFonts w:hint="eastAsia" w:ascii="楷体_GB2312" w:eastAsia="楷体_GB2312"/>
                      <w:b/>
                    </w:rPr>
                  </w:pPr>
                  <w:r>
                    <w:rPr>
                      <w:rFonts w:hint="eastAsia" w:ascii="楷体_GB2312" w:eastAsia="楷体_GB2312"/>
                      <w:b/>
                      <w:u w:val="single"/>
                    </w:rPr>
                    <w:t xml:space="preserve">          </w:t>
                  </w:r>
                  <w:r>
                    <w:rPr>
                      <w:rFonts w:hint="eastAsia" w:ascii="楷体_GB2312" w:eastAsia="楷体_GB2312"/>
                      <w:b/>
                    </w:rPr>
                    <w:t>小组“整理书包小能手”评价记录表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9" w:hRule="exact"/>
                <w:jc w:val="center"/>
              </w:trPr>
              <w:tc>
                <w:tcPr>
                  <w:tcW w:w="1188" w:type="dxa"/>
                  <w:vMerge w:val="restart"/>
                  <w:shd w:val="clear" w:color="auto" w:fill="auto"/>
                  <w:noWrap w:val="0"/>
                  <w:vAlign w:val="center"/>
                </w:tcPr>
                <w:p>
                  <w:pPr>
                    <w:jc w:val="center"/>
                    <w:rPr>
                      <w:rFonts w:hint="eastAsia" w:ascii="楷体_GB2312" w:eastAsia="楷体_GB2312"/>
                    </w:rPr>
                  </w:pPr>
                  <w:r>
                    <w:rPr>
                      <w:rFonts w:hint="eastAsia" w:ascii="楷体_GB2312" w:eastAsia="楷体_GB2312"/>
                    </w:rPr>
                    <w:t>姓   名</w:t>
                  </w:r>
                </w:p>
              </w:tc>
              <w:tc>
                <w:tcPr>
                  <w:tcW w:w="4500" w:type="dxa"/>
                  <w:gridSpan w:val="3"/>
                  <w:shd w:val="clear" w:color="auto" w:fill="auto"/>
                  <w:noWrap w:val="0"/>
                  <w:vAlign w:val="center"/>
                </w:tcPr>
                <w:p>
                  <w:pPr>
                    <w:jc w:val="center"/>
                    <w:rPr>
                      <w:rFonts w:hint="eastAsia" w:ascii="楷体_GB2312" w:eastAsia="楷体_GB2312"/>
                    </w:rPr>
                  </w:pPr>
                  <w:r>
                    <w:rPr>
                      <w:rFonts w:hint="eastAsia" w:ascii="楷体_GB2312" w:eastAsia="楷体_GB2312"/>
                    </w:rPr>
                    <w:t>评  价  内  容</w:t>
                  </w:r>
                </w:p>
              </w:tc>
              <w:tc>
                <w:tcPr>
                  <w:tcW w:w="1440" w:type="dxa"/>
                  <w:vMerge w:val="restart"/>
                  <w:shd w:val="clear" w:color="auto" w:fill="auto"/>
                  <w:noWrap w:val="0"/>
                  <w:vAlign w:val="center"/>
                </w:tcPr>
                <w:p>
                  <w:pPr>
                    <w:jc w:val="center"/>
                    <w:rPr>
                      <w:rFonts w:hint="eastAsia" w:ascii="楷体_GB2312" w:eastAsia="楷体_GB2312"/>
                    </w:rPr>
                  </w:pPr>
                  <w:r>
                    <w:rPr>
                      <w:rFonts w:hint="eastAsia" w:ascii="楷体_GB2312" w:eastAsia="楷体_GB2312"/>
                    </w:rPr>
                    <w:t>得星总数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4" w:hRule="exact"/>
                <w:jc w:val="center"/>
              </w:trPr>
              <w:tc>
                <w:tcPr>
                  <w:tcW w:w="1188" w:type="dxa"/>
                  <w:vMerge w:val="continue"/>
                  <w:shd w:val="clear" w:color="auto" w:fill="auto"/>
                  <w:noWrap w:val="0"/>
                  <w:vAlign w:val="center"/>
                </w:tcPr>
                <w:p>
                  <w:pPr>
                    <w:jc w:val="center"/>
                    <w:rPr>
                      <w:rFonts w:hint="eastAsia" w:ascii="楷体_GB2312" w:eastAsia="楷体_GB2312"/>
                    </w:rPr>
                  </w:pPr>
                </w:p>
              </w:tc>
              <w:tc>
                <w:tcPr>
                  <w:tcW w:w="1440" w:type="dxa"/>
                  <w:shd w:val="clear" w:color="auto" w:fill="auto"/>
                  <w:noWrap w:val="0"/>
                  <w:vAlign w:val="center"/>
                </w:tcPr>
                <w:p>
                  <w:pPr>
                    <w:jc w:val="center"/>
                    <w:rPr>
                      <w:rFonts w:hint="eastAsia" w:ascii="楷体_GB2312" w:eastAsia="楷体_GB2312"/>
                    </w:rPr>
                  </w:pPr>
                  <w:r>
                    <w:rPr>
                      <w:rFonts w:hint="eastAsia" w:ascii="楷体_GB2312" w:eastAsia="楷体_GB2312"/>
                    </w:rPr>
                    <w:t>整洁有序</w:t>
                  </w:r>
                </w:p>
              </w:tc>
              <w:tc>
                <w:tcPr>
                  <w:tcW w:w="1620" w:type="dxa"/>
                  <w:shd w:val="clear" w:color="auto" w:fill="auto"/>
                  <w:noWrap w:val="0"/>
                  <w:vAlign w:val="center"/>
                </w:tcPr>
                <w:p>
                  <w:pPr>
                    <w:jc w:val="center"/>
                    <w:rPr>
                      <w:rFonts w:hint="eastAsia" w:ascii="楷体_GB2312" w:eastAsia="楷体_GB2312"/>
                    </w:rPr>
                  </w:pPr>
                  <w:r>
                    <w:rPr>
                      <w:rFonts w:hint="eastAsia" w:ascii="楷体_GB2312" w:eastAsia="楷体_GB2312"/>
                    </w:rPr>
                    <w:t>摆放合理</w:t>
                  </w:r>
                </w:p>
              </w:tc>
              <w:tc>
                <w:tcPr>
                  <w:tcW w:w="1440" w:type="dxa"/>
                  <w:shd w:val="clear" w:color="auto" w:fill="auto"/>
                  <w:noWrap w:val="0"/>
                  <w:vAlign w:val="center"/>
                </w:tcPr>
                <w:p>
                  <w:pPr>
                    <w:jc w:val="center"/>
                    <w:rPr>
                      <w:rFonts w:hint="eastAsia" w:ascii="楷体_GB2312" w:eastAsia="楷体_GB2312"/>
                    </w:rPr>
                  </w:pPr>
                  <w:r>
                    <w:rPr>
                      <w:rFonts w:hint="eastAsia" w:ascii="楷体_GB2312" w:eastAsia="楷体_GB2312"/>
                    </w:rPr>
                    <w:t>取用方便</w:t>
                  </w:r>
                </w:p>
              </w:tc>
              <w:tc>
                <w:tcPr>
                  <w:tcW w:w="1440" w:type="dxa"/>
                  <w:vMerge w:val="continue"/>
                  <w:shd w:val="clear" w:color="auto" w:fill="auto"/>
                  <w:noWrap w:val="0"/>
                  <w:vAlign w:val="center"/>
                </w:tcPr>
                <w:p>
                  <w:pPr>
                    <w:jc w:val="center"/>
                    <w:rPr>
                      <w:rFonts w:hint="eastAsia" w:ascii="楷体_GB2312"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3" w:hRule="atLeast"/>
                <w:jc w:val="center"/>
              </w:trPr>
              <w:tc>
                <w:tcPr>
                  <w:tcW w:w="1188" w:type="dxa"/>
                  <w:shd w:val="clear" w:color="auto" w:fill="auto"/>
                  <w:noWrap w:val="0"/>
                  <w:vAlign w:val="center"/>
                </w:tcPr>
                <w:p>
                  <w:pPr>
                    <w:jc w:val="center"/>
                    <w:rPr>
                      <w:rFonts w:hint="eastAsia" w:ascii="楷体_GB2312" w:eastAsia="楷体_GB2312"/>
                    </w:rPr>
                  </w:pPr>
                </w:p>
              </w:tc>
              <w:tc>
                <w:tcPr>
                  <w:tcW w:w="1440" w:type="dxa"/>
                  <w:shd w:val="clear" w:color="auto" w:fill="auto"/>
                  <w:noWrap w:val="0"/>
                  <w:vAlign w:val="center"/>
                </w:tcPr>
                <w:p>
                  <w:pPr>
                    <w:jc w:val="center"/>
                    <w:rPr>
                      <w:rFonts w:hint="eastAsia" w:ascii="楷体_GB2312" w:eastAsia="楷体_GB2312"/>
                    </w:rPr>
                  </w:pPr>
                  <w:r>
                    <w:rPr>
                      <w:rFonts w:hint="eastAsia" w:ascii="楷体_GB2312" w:eastAsia="楷体_GB2312"/>
                    </w:rPr>
                    <w:t>（  ）☆</w:t>
                  </w:r>
                </w:p>
              </w:tc>
              <w:tc>
                <w:tcPr>
                  <w:tcW w:w="1620" w:type="dxa"/>
                  <w:shd w:val="clear" w:color="auto" w:fill="auto"/>
                  <w:noWrap w:val="0"/>
                  <w:vAlign w:val="center"/>
                </w:tcPr>
                <w:p>
                  <w:pPr>
                    <w:jc w:val="center"/>
                    <w:rPr>
                      <w:rFonts w:hint="eastAsia" w:ascii="楷体_GB2312" w:eastAsia="楷体_GB2312"/>
                    </w:rPr>
                  </w:pPr>
                  <w:r>
                    <w:rPr>
                      <w:rFonts w:hint="eastAsia" w:ascii="楷体_GB2312" w:eastAsia="楷体_GB2312"/>
                    </w:rPr>
                    <w:t>（  ）☆</w:t>
                  </w:r>
                </w:p>
              </w:tc>
              <w:tc>
                <w:tcPr>
                  <w:tcW w:w="1440" w:type="dxa"/>
                  <w:shd w:val="clear" w:color="auto" w:fill="auto"/>
                  <w:noWrap w:val="0"/>
                  <w:vAlign w:val="center"/>
                </w:tcPr>
                <w:p>
                  <w:pPr>
                    <w:jc w:val="center"/>
                    <w:rPr>
                      <w:rFonts w:hint="eastAsia" w:ascii="楷体_GB2312" w:eastAsia="楷体_GB2312"/>
                    </w:rPr>
                  </w:pPr>
                  <w:r>
                    <w:rPr>
                      <w:rFonts w:hint="eastAsia" w:ascii="楷体_GB2312" w:eastAsia="楷体_GB2312"/>
                    </w:rPr>
                    <w:t>（  ）☆</w:t>
                  </w:r>
                </w:p>
              </w:tc>
              <w:tc>
                <w:tcPr>
                  <w:tcW w:w="1440" w:type="dxa"/>
                  <w:shd w:val="clear" w:color="auto" w:fill="auto"/>
                  <w:noWrap w:val="0"/>
                  <w:vAlign w:val="center"/>
                </w:tcPr>
                <w:p>
                  <w:pPr>
                    <w:jc w:val="center"/>
                    <w:rPr>
                      <w:rFonts w:hint="eastAsia" w:ascii="楷体_GB2312" w:eastAsia="楷体_GB2312"/>
                    </w:rPr>
                  </w:pPr>
                  <w:r>
                    <w:rPr>
                      <w:rFonts w:hint="eastAsia" w:ascii="楷体_GB2312" w:eastAsia="楷体_GB231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3" w:hRule="atLeast"/>
                <w:jc w:val="center"/>
              </w:trPr>
              <w:tc>
                <w:tcPr>
                  <w:tcW w:w="1188" w:type="dxa"/>
                  <w:shd w:val="clear" w:color="auto" w:fill="auto"/>
                  <w:noWrap w:val="0"/>
                  <w:vAlign w:val="center"/>
                </w:tcPr>
                <w:p>
                  <w:pPr>
                    <w:jc w:val="center"/>
                    <w:rPr>
                      <w:rFonts w:hint="eastAsia" w:ascii="楷体_GB2312" w:eastAsia="楷体_GB2312"/>
                    </w:rPr>
                  </w:pPr>
                </w:p>
              </w:tc>
              <w:tc>
                <w:tcPr>
                  <w:tcW w:w="1440" w:type="dxa"/>
                  <w:shd w:val="clear" w:color="auto" w:fill="auto"/>
                  <w:noWrap w:val="0"/>
                  <w:vAlign w:val="center"/>
                </w:tcPr>
                <w:p>
                  <w:pPr>
                    <w:jc w:val="center"/>
                    <w:rPr>
                      <w:rFonts w:hint="eastAsia" w:ascii="楷体_GB2312" w:eastAsia="楷体_GB2312"/>
                    </w:rPr>
                  </w:pPr>
                  <w:r>
                    <w:rPr>
                      <w:rFonts w:hint="eastAsia" w:ascii="楷体_GB2312" w:eastAsia="楷体_GB2312"/>
                    </w:rPr>
                    <w:t>（  ）☆</w:t>
                  </w:r>
                </w:p>
              </w:tc>
              <w:tc>
                <w:tcPr>
                  <w:tcW w:w="1620" w:type="dxa"/>
                  <w:shd w:val="clear" w:color="auto" w:fill="auto"/>
                  <w:noWrap w:val="0"/>
                  <w:vAlign w:val="center"/>
                </w:tcPr>
                <w:p>
                  <w:pPr>
                    <w:jc w:val="center"/>
                    <w:rPr>
                      <w:rFonts w:hint="eastAsia" w:ascii="楷体_GB2312" w:eastAsia="楷体_GB2312"/>
                    </w:rPr>
                  </w:pPr>
                  <w:r>
                    <w:rPr>
                      <w:rFonts w:hint="eastAsia" w:ascii="楷体_GB2312" w:eastAsia="楷体_GB2312"/>
                    </w:rPr>
                    <w:t>（  ）☆</w:t>
                  </w:r>
                </w:p>
              </w:tc>
              <w:tc>
                <w:tcPr>
                  <w:tcW w:w="1440" w:type="dxa"/>
                  <w:shd w:val="clear" w:color="auto" w:fill="auto"/>
                  <w:noWrap w:val="0"/>
                  <w:vAlign w:val="center"/>
                </w:tcPr>
                <w:p>
                  <w:pPr>
                    <w:jc w:val="center"/>
                    <w:rPr>
                      <w:rFonts w:hint="eastAsia" w:ascii="楷体_GB2312" w:eastAsia="楷体_GB2312"/>
                    </w:rPr>
                  </w:pPr>
                  <w:r>
                    <w:rPr>
                      <w:rFonts w:hint="eastAsia" w:ascii="楷体_GB2312" w:eastAsia="楷体_GB2312"/>
                    </w:rPr>
                    <w:t>（  ）☆</w:t>
                  </w:r>
                </w:p>
              </w:tc>
              <w:tc>
                <w:tcPr>
                  <w:tcW w:w="1440" w:type="dxa"/>
                  <w:shd w:val="clear" w:color="auto" w:fill="auto"/>
                  <w:noWrap w:val="0"/>
                  <w:vAlign w:val="center"/>
                </w:tcPr>
                <w:p>
                  <w:pPr>
                    <w:jc w:val="center"/>
                    <w:rPr>
                      <w:rFonts w:hint="eastAsia" w:ascii="楷体_GB2312" w:eastAsia="楷体_GB2312"/>
                    </w:rPr>
                  </w:pPr>
                  <w:r>
                    <w:rPr>
                      <w:rFonts w:hint="eastAsia" w:ascii="楷体_GB2312" w:eastAsia="楷体_GB231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33" w:hRule="atLeast"/>
                <w:jc w:val="center"/>
              </w:trPr>
              <w:tc>
                <w:tcPr>
                  <w:tcW w:w="1188" w:type="dxa"/>
                  <w:shd w:val="clear" w:color="auto" w:fill="auto"/>
                  <w:noWrap w:val="0"/>
                  <w:textDirection w:val="tbRlV"/>
                  <w:vAlign w:val="center"/>
                </w:tcPr>
                <w:p>
                  <w:pPr>
                    <w:ind w:left="113" w:right="113"/>
                    <w:jc w:val="center"/>
                    <w:rPr>
                      <w:rFonts w:hint="eastAsia" w:ascii="楷体_GB2312" w:eastAsia="楷体_GB2312"/>
                    </w:rPr>
                  </w:pPr>
                  <w:r>
                    <w:rPr>
                      <w:rFonts w:hint="eastAsia" w:ascii="楷体_GB2312" w:eastAsia="楷体_GB2312"/>
                    </w:rPr>
                    <w:t>…</w:t>
                  </w:r>
                </w:p>
              </w:tc>
              <w:tc>
                <w:tcPr>
                  <w:tcW w:w="1440" w:type="dxa"/>
                  <w:shd w:val="clear" w:color="auto" w:fill="auto"/>
                  <w:noWrap w:val="0"/>
                  <w:textDirection w:val="tbRlV"/>
                  <w:vAlign w:val="center"/>
                </w:tcPr>
                <w:p>
                  <w:pPr>
                    <w:ind w:left="113" w:right="113"/>
                    <w:jc w:val="center"/>
                    <w:rPr>
                      <w:rFonts w:hint="eastAsia" w:ascii="楷体_GB2312" w:eastAsia="楷体_GB2312"/>
                    </w:rPr>
                  </w:pPr>
                  <w:r>
                    <w:rPr>
                      <w:rFonts w:hint="eastAsia" w:ascii="楷体_GB2312" w:eastAsia="楷体_GB2312"/>
                    </w:rPr>
                    <w:t>…</w:t>
                  </w:r>
                </w:p>
              </w:tc>
              <w:tc>
                <w:tcPr>
                  <w:tcW w:w="1620" w:type="dxa"/>
                  <w:shd w:val="clear" w:color="auto" w:fill="auto"/>
                  <w:noWrap w:val="0"/>
                  <w:textDirection w:val="tbRlV"/>
                  <w:vAlign w:val="center"/>
                </w:tcPr>
                <w:p>
                  <w:pPr>
                    <w:ind w:left="113" w:right="113"/>
                    <w:jc w:val="center"/>
                    <w:rPr>
                      <w:rFonts w:hint="eastAsia" w:ascii="楷体_GB2312" w:eastAsia="楷体_GB2312"/>
                    </w:rPr>
                  </w:pPr>
                  <w:r>
                    <w:rPr>
                      <w:rFonts w:hint="eastAsia" w:ascii="楷体_GB2312" w:eastAsia="楷体_GB2312"/>
                    </w:rPr>
                    <w:t>…</w:t>
                  </w:r>
                </w:p>
              </w:tc>
              <w:tc>
                <w:tcPr>
                  <w:tcW w:w="1440" w:type="dxa"/>
                  <w:shd w:val="clear" w:color="auto" w:fill="auto"/>
                  <w:noWrap w:val="0"/>
                  <w:textDirection w:val="tbRlV"/>
                  <w:vAlign w:val="center"/>
                </w:tcPr>
                <w:p>
                  <w:pPr>
                    <w:ind w:left="113" w:right="113"/>
                    <w:jc w:val="center"/>
                    <w:rPr>
                      <w:rFonts w:hint="eastAsia" w:ascii="楷体_GB2312" w:eastAsia="楷体_GB2312"/>
                    </w:rPr>
                  </w:pPr>
                  <w:r>
                    <w:rPr>
                      <w:rFonts w:hint="eastAsia" w:ascii="楷体_GB2312" w:eastAsia="楷体_GB2312"/>
                    </w:rPr>
                    <w:t>…</w:t>
                  </w:r>
                </w:p>
              </w:tc>
              <w:tc>
                <w:tcPr>
                  <w:tcW w:w="1440" w:type="dxa"/>
                  <w:shd w:val="clear" w:color="auto" w:fill="auto"/>
                  <w:noWrap w:val="0"/>
                  <w:textDirection w:val="tbRlV"/>
                  <w:vAlign w:val="center"/>
                </w:tcPr>
                <w:p>
                  <w:pPr>
                    <w:ind w:left="113" w:right="113"/>
                    <w:jc w:val="center"/>
                    <w:rPr>
                      <w:rFonts w:hint="eastAsia" w:ascii="楷体_GB2312" w:eastAsia="楷体_GB2312"/>
                    </w:rPr>
                  </w:pPr>
                  <w:r>
                    <w:rPr>
                      <w:rFonts w:hint="eastAsia" w:ascii="楷体_GB2312" w:eastAsia="楷体_GB231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3" w:hRule="atLeast"/>
                <w:jc w:val="center"/>
              </w:trPr>
              <w:tc>
                <w:tcPr>
                  <w:tcW w:w="1188" w:type="dxa"/>
                  <w:shd w:val="clear" w:color="auto" w:fill="auto"/>
                  <w:noWrap w:val="0"/>
                  <w:vAlign w:val="center"/>
                </w:tcPr>
                <w:p>
                  <w:pPr>
                    <w:jc w:val="center"/>
                    <w:rPr>
                      <w:rFonts w:hint="eastAsia" w:ascii="楷体_GB2312" w:eastAsia="楷体_GB2312"/>
                    </w:rPr>
                  </w:pPr>
                </w:p>
              </w:tc>
              <w:tc>
                <w:tcPr>
                  <w:tcW w:w="1440" w:type="dxa"/>
                  <w:shd w:val="clear" w:color="auto" w:fill="auto"/>
                  <w:noWrap w:val="0"/>
                  <w:vAlign w:val="center"/>
                </w:tcPr>
                <w:p>
                  <w:pPr>
                    <w:jc w:val="center"/>
                    <w:rPr>
                      <w:rFonts w:hint="eastAsia" w:ascii="楷体_GB2312" w:eastAsia="楷体_GB2312"/>
                    </w:rPr>
                  </w:pPr>
                  <w:r>
                    <w:rPr>
                      <w:rFonts w:hint="eastAsia" w:ascii="楷体_GB2312" w:eastAsia="楷体_GB2312"/>
                    </w:rPr>
                    <w:t>（  ）☆</w:t>
                  </w:r>
                </w:p>
              </w:tc>
              <w:tc>
                <w:tcPr>
                  <w:tcW w:w="1620" w:type="dxa"/>
                  <w:shd w:val="clear" w:color="auto" w:fill="auto"/>
                  <w:noWrap w:val="0"/>
                  <w:vAlign w:val="center"/>
                </w:tcPr>
                <w:p>
                  <w:pPr>
                    <w:jc w:val="center"/>
                    <w:rPr>
                      <w:rFonts w:hint="eastAsia" w:ascii="楷体_GB2312" w:eastAsia="楷体_GB2312"/>
                    </w:rPr>
                  </w:pPr>
                  <w:r>
                    <w:rPr>
                      <w:rFonts w:hint="eastAsia" w:ascii="楷体_GB2312" w:eastAsia="楷体_GB2312"/>
                    </w:rPr>
                    <w:t>（  ）☆</w:t>
                  </w:r>
                </w:p>
              </w:tc>
              <w:tc>
                <w:tcPr>
                  <w:tcW w:w="1440" w:type="dxa"/>
                  <w:shd w:val="clear" w:color="auto" w:fill="auto"/>
                  <w:noWrap w:val="0"/>
                  <w:vAlign w:val="center"/>
                </w:tcPr>
                <w:p>
                  <w:pPr>
                    <w:jc w:val="center"/>
                    <w:rPr>
                      <w:rFonts w:hint="eastAsia" w:ascii="楷体_GB2312" w:eastAsia="楷体_GB2312"/>
                    </w:rPr>
                  </w:pPr>
                  <w:r>
                    <w:rPr>
                      <w:rFonts w:hint="eastAsia" w:ascii="楷体_GB2312" w:eastAsia="楷体_GB2312"/>
                    </w:rPr>
                    <w:t>（  ）☆</w:t>
                  </w:r>
                </w:p>
              </w:tc>
              <w:tc>
                <w:tcPr>
                  <w:tcW w:w="1440" w:type="dxa"/>
                  <w:shd w:val="clear" w:color="auto" w:fill="auto"/>
                  <w:noWrap w:val="0"/>
                  <w:vAlign w:val="center"/>
                </w:tcPr>
                <w:p>
                  <w:pPr>
                    <w:jc w:val="center"/>
                    <w:rPr>
                      <w:rFonts w:hint="eastAsia" w:ascii="楷体_GB2312" w:eastAsia="楷体_GB2312"/>
                    </w:rPr>
                  </w:pPr>
                  <w:r>
                    <w:rPr>
                      <w:rFonts w:hint="eastAsia" w:ascii="楷体_GB2312" w:eastAsia="楷体_GB231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4" w:hRule="exact"/>
                <w:jc w:val="center"/>
              </w:trPr>
              <w:tc>
                <w:tcPr>
                  <w:tcW w:w="7128" w:type="dxa"/>
                  <w:gridSpan w:val="5"/>
                  <w:shd w:val="clear" w:color="auto" w:fill="auto"/>
                  <w:noWrap w:val="0"/>
                  <w:vAlign w:val="center"/>
                </w:tcPr>
                <w:p>
                  <w:pPr>
                    <w:rPr>
                      <w:rFonts w:eastAsia="楷体_GB2312"/>
                    </w:rPr>
                  </w:pPr>
                  <w:r>
                    <w:rPr>
                      <w:rFonts w:eastAsia="楷体_GB2312"/>
                    </w:rPr>
                    <w:t>1.优秀3☆</w:t>
                  </w:r>
                  <w:r>
                    <w:rPr>
                      <w:rFonts w:eastAsia="楷体_GB2312"/>
                      <w:bCs/>
                    </w:rPr>
                    <w:t>，</w:t>
                  </w:r>
                  <w:r>
                    <w:rPr>
                      <w:rFonts w:eastAsia="楷体_GB2312"/>
                    </w:rPr>
                    <w:t>良好2☆，一般1☆，把前三项加起来就是得星总数。</w:t>
                  </w:r>
                </w:p>
                <w:p>
                  <w:pPr>
                    <w:rPr>
                      <w:rFonts w:eastAsia="楷体_GB2312"/>
                      <w:bCs/>
                    </w:rPr>
                  </w:pPr>
                  <w:r>
                    <w:rPr>
                      <w:rFonts w:eastAsia="楷体_GB2312"/>
                    </w:rPr>
                    <w:t xml:space="preserve">2.获得8☆和9☆的，就是整理书包的小能手。            </w:t>
                  </w:r>
                </w:p>
              </w:tc>
            </w:tr>
          </w:tbl>
          <w:p>
            <w:pPr>
              <w:ind w:firstLine="420" w:firstLineChars="200"/>
              <w:rPr>
                <w:rFonts w:hint="eastAsia"/>
              </w:rPr>
            </w:pPr>
            <w:r>
              <w:rPr>
                <w:rFonts w:hint="eastAsia" w:ascii="宋体" w:hAnsi="宋体" w:cs="宋体"/>
                <w:szCs w:val="21"/>
                <w:lang w:eastAsia="zh-CN"/>
              </w:rPr>
              <w:t>在学生综合实践活动学业质量评价中，尝试设计与运用表现性评价任务单，对某一年段学生综合素质发展情况进行测评，如</w:t>
            </w:r>
            <w:r>
              <w:rPr>
                <w:rFonts w:hint="eastAsia"/>
                <w:lang w:eastAsia="zh-CN"/>
              </w:rPr>
              <w:t>课题主持人所在学校曾</w:t>
            </w:r>
            <w:r>
              <w:rPr>
                <w:rFonts w:hint="eastAsia"/>
              </w:rPr>
              <w:t>对五年级</w:t>
            </w:r>
            <w:r>
              <w:rPr>
                <w:rFonts w:hint="eastAsia"/>
                <w:lang w:eastAsia="zh-CN"/>
              </w:rPr>
              <w:t>学生</w:t>
            </w:r>
            <w:r>
              <w:rPr>
                <w:rFonts w:hint="eastAsia"/>
              </w:rPr>
              <w:t>进行综合实践活动</w:t>
            </w:r>
            <w:r>
              <w:rPr>
                <w:rFonts w:hint="eastAsia"/>
                <w:lang w:eastAsia="zh-CN"/>
              </w:rPr>
              <w:t>能力测评，</w:t>
            </w:r>
            <w:r>
              <w:rPr>
                <w:rFonts w:hint="eastAsia"/>
              </w:rPr>
              <w:t>使用</w:t>
            </w:r>
            <w:r>
              <w:rPr>
                <w:rFonts w:hint="eastAsia"/>
                <w:lang w:eastAsia="zh-CN"/>
              </w:rPr>
              <w:t>了</w:t>
            </w:r>
            <w:r>
              <w:rPr>
                <w:rFonts w:hint="eastAsia"/>
              </w:rPr>
              <w:t>下面的表现性评价“任务单”：</w:t>
            </w:r>
          </w:p>
          <w:p>
            <w:pPr>
              <w:ind w:firstLine="420" w:firstLineChars="200"/>
              <w:rPr>
                <w:rFonts w:hint="eastAsia" w:ascii="仿宋_GB2312" w:eastAsia="仿宋_GB2312"/>
              </w:rPr>
            </w:pPr>
            <w:r>
              <w:rPr>
                <w:rFonts w:hint="eastAsia" w:ascii="仿宋_GB2312" w:eastAsia="仿宋_GB2312"/>
              </w:rPr>
              <w:t>小明带领的研究小组最近正在开展一项“关于小学生近视原因追踪”的调查研究。他们对一、三、五年级学生各50名进行了抽样调查，获得了一组调查数据：一年级学生中近视人数为3人、三年级12人、五年级30人，其中超过400度的人数分别为一年级0人、三年级1人、五年级6人。</w:t>
            </w:r>
          </w:p>
          <w:p>
            <w:pPr>
              <w:ind w:firstLine="422" w:firstLineChars="200"/>
              <w:rPr>
                <w:rFonts w:hint="eastAsia" w:ascii="仿宋_GB2312" w:eastAsia="仿宋_GB2312"/>
                <w:b/>
              </w:rPr>
            </w:pPr>
            <w:r>
              <w:rPr>
                <w:rFonts w:hint="eastAsia" w:ascii="仿宋_GB2312" w:eastAsia="仿宋_GB2312"/>
                <w:b/>
              </w:rPr>
              <w:t>任务一、合作形成调查结果。</w:t>
            </w:r>
          </w:p>
          <w:p>
            <w:pPr>
              <w:ind w:firstLine="420" w:firstLineChars="200"/>
              <w:rPr>
                <w:rFonts w:hint="eastAsia" w:ascii="仿宋_GB2312" w:eastAsia="仿宋_GB2312"/>
              </w:rPr>
            </w:pPr>
            <w:r>
              <w:rPr>
                <w:rFonts w:hint="eastAsia" w:ascii="仿宋_GB2312" w:eastAsia="仿宋_GB2312"/>
              </w:rPr>
              <w:t>假设你们也是这个研究小组的成员，请选择你们认为合适的方式呈现调查结果（提示：可在语言描述、表格、图标中任意选择一种进行表达），并给出你们的调查结论。</w:t>
            </w:r>
          </w:p>
          <w:p>
            <w:pPr>
              <w:ind w:firstLine="422" w:firstLineChars="200"/>
              <w:rPr>
                <w:rFonts w:hint="eastAsia" w:ascii="仿宋_GB2312" w:eastAsia="仿宋_GB2312"/>
                <w:b/>
              </w:rPr>
            </w:pPr>
            <w:r>
              <w:rPr>
                <w:rFonts w:hint="eastAsia" w:ascii="仿宋_GB2312" w:eastAsia="仿宋_GB2312"/>
                <w:b/>
              </w:rPr>
              <w:t>任务二、联系生活分析原因。</w:t>
            </w:r>
          </w:p>
          <w:p>
            <w:pPr>
              <w:ind w:firstLine="420" w:firstLineChars="200"/>
              <w:rPr>
                <w:rFonts w:hint="eastAsia" w:ascii="仿宋_GB2312" w:eastAsia="仿宋_GB2312"/>
              </w:rPr>
            </w:pPr>
            <w:r>
              <w:rPr>
                <w:rFonts w:hint="eastAsia" w:ascii="仿宋_GB2312" w:eastAsia="仿宋_GB2312"/>
              </w:rPr>
              <w:t>造成小学生近视的原因是很复杂的，可能涉及生活中学习、游戏、饮食等各个方面。请在小组内讨论，找出造成小学生近视的主要原因，把你们认为恰当的写在下面的方框里。</w:t>
            </w:r>
          </w:p>
          <w:p>
            <w:pPr>
              <w:ind w:firstLine="422" w:firstLineChars="200"/>
              <w:rPr>
                <w:rFonts w:hint="eastAsia" w:ascii="仿宋_GB2312" w:eastAsia="仿宋_GB2312"/>
                <w:b/>
              </w:rPr>
            </w:pPr>
            <w:r>
              <w:rPr>
                <w:rFonts w:hint="eastAsia" w:ascii="仿宋_GB2312" w:eastAsia="仿宋_GB2312"/>
                <w:b/>
              </w:rPr>
              <w:t>任务三、针对重点进行采访。</w:t>
            </w:r>
          </w:p>
          <w:p>
            <w:pPr>
              <w:ind w:firstLine="420" w:firstLineChars="200"/>
              <w:rPr>
                <w:rFonts w:hint="eastAsia" w:ascii="仿宋_GB2312" w:eastAsia="仿宋_GB2312"/>
              </w:rPr>
            </w:pPr>
            <w:r>
              <w:rPr>
                <w:rFonts w:hint="eastAsia" w:ascii="仿宋_GB2312" w:eastAsia="仿宋_GB2312"/>
              </w:rPr>
              <w:t>为了深入研究小学生近视的现状、特点和主要原因，研究小组决定对眼科医院的医生进行一次采访。他们应该在采访中提出哪些问题呢？请你们共同努力，围绕研究的重点设计5个以上的采访问题，供他们选择。</w:t>
            </w:r>
          </w:p>
          <w:p>
            <w:pPr>
              <w:ind w:firstLine="422" w:firstLineChars="200"/>
              <w:rPr>
                <w:rFonts w:hint="eastAsia" w:ascii="仿宋_GB2312" w:eastAsia="仿宋_GB2312"/>
                <w:b/>
              </w:rPr>
            </w:pPr>
            <w:r>
              <w:rPr>
                <w:rFonts w:hint="eastAsia" w:ascii="仿宋_GB2312" w:eastAsia="仿宋_GB2312"/>
                <w:b/>
              </w:rPr>
              <w:t>任务四、设计活动亲身实践。</w:t>
            </w:r>
          </w:p>
          <w:p>
            <w:pPr>
              <w:ind w:firstLine="420" w:firstLineChars="200"/>
              <w:rPr>
                <w:rFonts w:hint="eastAsia" w:ascii="仿宋_GB2312" w:eastAsia="仿宋_GB2312"/>
              </w:rPr>
            </w:pPr>
            <w:r>
              <w:rPr>
                <w:rFonts w:hint="eastAsia" w:ascii="仿宋_GB2312" w:eastAsia="仿宋_GB2312"/>
              </w:rPr>
              <w:t>为了引起大家对小学生近视问题的关注，采取措施控制和降低小学生近视率，请你们策划一次小组活动。（写出活动名称、参加对象、活动的主要过程，并简要说说组织这次活动有什么意义。）</w:t>
            </w:r>
          </w:p>
          <w:p>
            <w:pPr>
              <w:spacing w:line="360" w:lineRule="exact"/>
              <w:rPr>
                <w:rFonts w:hint="eastAsia" w:ascii="宋体" w:hAnsi="宋体"/>
              </w:rPr>
            </w:pPr>
            <w:r>
              <w:rPr>
                <w:rFonts w:hint="eastAsia" w:ascii="宋体" w:hAnsi="宋体"/>
              </w:rPr>
              <w:t>在上述评价活动中，通过创设“关于小学生近视原因追踪”的研究活动情境，设置了四项互相关联的评价任务，综合考察了学生整理数据形成调查结论、分析问题、采访和活动策划等方面能力的实际状况，可以对五年级学生综合实践活动关键能力的发展做出较为客观的评价。</w:t>
            </w:r>
          </w:p>
          <w:p>
            <w:pPr>
              <w:spacing w:line="360" w:lineRule="exact"/>
              <w:ind w:firstLine="420" w:firstLineChars="200"/>
              <w:rPr>
                <w:rFonts w:hint="eastAsia" w:ascii="宋体" w:hAnsi="宋体" w:cs="宋体"/>
                <w:szCs w:val="21"/>
              </w:rPr>
            </w:pPr>
            <w:r>
              <w:rPr>
                <w:rFonts w:hint="eastAsia" w:ascii="宋体" w:hAnsi="宋体" w:cs="宋体"/>
                <w:szCs w:val="21"/>
              </w:rPr>
              <w:t>研究的初步成果《综合实践活动表现性评价的认识、开发与运用》发表于《课程·教材·教法》，另有多篇相关论文在省、市专业委员会组织的论文评比中获奖。</w:t>
            </w:r>
          </w:p>
          <w:p>
            <w:pPr>
              <w:spacing w:line="360" w:lineRule="exact"/>
              <w:ind w:firstLine="422" w:firstLineChars="200"/>
              <w:rPr>
                <w:rFonts w:hint="eastAsia" w:ascii="宋体" w:hAnsi="宋体" w:cs="宋体"/>
                <w:b/>
                <w:bCs/>
                <w:szCs w:val="21"/>
              </w:rPr>
            </w:pPr>
            <w:r>
              <w:rPr>
                <w:rFonts w:hint="eastAsia" w:ascii="宋体" w:hAnsi="宋体" w:cs="宋体"/>
                <w:b/>
                <w:bCs/>
                <w:szCs w:val="21"/>
              </w:rPr>
              <w:t>3.保障条件</w:t>
            </w:r>
          </w:p>
          <w:p>
            <w:pPr>
              <w:spacing w:line="360" w:lineRule="exact"/>
              <w:ind w:firstLine="420" w:firstLineChars="200"/>
              <w:rPr>
                <w:rFonts w:hint="eastAsia" w:ascii="宋体" w:hAnsi="宋体" w:cs="宋体"/>
                <w:color w:val="0000FF"/>
                <w:szCs w:val="21"/>
              </w:rPr>
            </w:pPr>
            <w:r>
              <w:rPr>
                <w:rFonts w:hint="eastAsia" w:ascii="宋体" w:hAnsi="宋体" w:cs="宋体"/>
                <w:szCs w:val="21"/>
              </w:rPr>
              <w:t>课题主持人所在单位能够上中国期刊网、超星数字图书馆、万方学位论文全文数据库等多种数据库，可以搜集到课题研究所需的各种文献资料；研究经费方面，该课题研究本身与区级和核心成员所在学校的综合实践活动课程教研工作相结合，课题组主持人已经申请单位领导同意，部分研究经费在学校教科研经费中列支；在研究时间方面，我们在课题立项后，将制定详细的课题研究计划和时间表，按照时间表的进程安排课题研究，以充分保证课题组成员的研究时间。</w:t>
            </w:r>
          </w:p>
          <w:p>
            <w:pPr>
              <w:spacing w:line="300" w:lineRule="exact"/>
              <w:ind w:right="-107" w:rightChars="-51"/>
              <w:rPr>
                <w:rFonts w:hint="eastAsia" w:ascii="宋体" w:hAnsi="宋体"/>
                <w:szCs w:val="21"/>
              </w:rPr>
            </w:pP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FfpE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q7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gV+kR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1B7239"/>
    <w:rsid w:val="021B7239"/>
    <w:rsid w:val="1054639D"/>
    <w:rsid w:val="19FF49A9"/>
    <w:rsid w:val="1D7472D8"/>
    <w:rsid w:val="20347BF2"/>
    <w:rsid w:val="39BE16C0"/>
    <w:rsid w:val="5C663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2019-06-17T04:04:00Z</dcterms:created>
  <dc:creator>钱新建</dc:creator>
  <cp:lastModifiedBy>钱新建</cp:lastModifiedBy>
  <dcterms:modified xsi:type="dcterms:W3CDTF">2019-07-04T08:18:32Z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