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left"/>
        <w:rPr>
          <w:rFonts w:ascii="宋体" w:hAnsi="宋体" w:eastAsia="宋体" w:cs="Times New Roman"/>
          <w:b/>
          <w:color w:val="auto"/>
          <w:sz w:val="28"/>
          <w:szCs w:val="28"/>
        </w:rPr>
      </w:pPr>
      <w:r>
        <w:rPr>
          <w:rFonts w:ascii="宋体" w:hAnsi="宋体" w:eastAsia="宋体" w:cs="Times New Roman"/>
          <w:b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-721995</wp:posOffset>
            </wp:positionV>
            <wp:extent cx="1200150" cy="1466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20" w:lineRule="exact"/>
        <w:jc w:val="left"/>
        <w:rPr>
          <w:rFonts w:ascii="宋体" w:hAnsi="宋体" w:eastAsia="宋体" w:cs="Times New Roman"/>
          <w:b/>
          <w:sz w:val="32"/>
          <w:szCs w:val="32"/>
        </w:rPr>
      </w:pPr>
    </w:p>
    <w:p>
      <w:pPr>
        <w:adjustRightInd w:val="0"/>
        <w:snapToGrid w:val="0"/>
        <w:spacing w:line="42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龙虎塘第二实验小学2</w:t>
      </w:r>
      <w:r>
        <w:rPr>
          <w:rFonts w:ascii="宋体" w:hAnsi="宋体" w:eastAsia="宋体" w:cs="Times New Roman"/>
          <w:b/>
          <w:sz w:val="32"/>
          <w:szCs w:val="32"/>
        </w:rPr>
        <w:t>02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32"/>
          <w:szCs w:val="32"/>
        </w:rPr>
        <w:t>年度校本培训计划</w:t>
      </w:r>
    </w:p>
    <w:p>
      <w:pPr>
        <w:adjustRightInd w:val="0"/>
        <w:snapToGrid w:val="0"/>
        <w:spacing w:line="360" w:lineRule="auto"/>
        <w:ind w:firstLine="480"/>
        <w:rPr>
          <w:rFonts w:eastAsia="宋体" w:cs="Times New Roman" w:asciiTheme="minorEastAsia" w:hAnsiTheme="minorEastAsia"/>
          <w:b/>
          <w:sz w:val="24"/>
          <w:szCs w:val="24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eastAsia="宋体" w:cs="Times New Roman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sz w:val="24"/>
          <w:szCs w:val="24"/>
          <w:lang w:val="en-US" w:eastAsia="zh-CN"/>
        </w:rPr>
        <w:t>指导思想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以科学发展观和党的十八大及十八届四中全会精神为指导，以国家教育政策、法规为依据，深入贯彻常州市、新北区教育工作会议精神，认真学习《常州市中长期教育改革和发展规划纲要（2010—2020）》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在区教科研工作重点及学校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让生命诗意地栖居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办学理念</w:t>
      </w:r>
      <w:r>
        <w:rPr>
          <w:rFonts w:hint="eastAsia" w:ascii="宋体" w:hAnsi="宋体" w:eastAsia="宋体" w:cs="宋体"/>
          <w:sz w:val="24"/>
          <w:szCs w:val="24"/>
        </w:rPr>
        <w:t>为指导的基础上，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以“三少课程”为抓手，</w:t>
      </w:r>
      <w:r>
        <w:rPr>
          <w:rFonts w:hint="eastAsia" w:ascii="宋体" w:hAnsi="宋体" w:eastAsia="宋体" w:cs="宋体"/>
          <w:sz w:val="24"/>
          <w:szCs w:val="24"/>
        </w:rPr>
        <w:t>以学促研，提升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教育教学</w:t>
      </w:r>
      <w:r>
        <w:rPr>
          <w:rFonts w:hint="eastAsia" w:ascii="宋体" w:hAnsi="宋体" w:eastAsia="宋体" w:cs="宋体"/>
          <w:sz w:val="24"/>
          <w:szCs w:val="24"/>
        </w:rPr>
        <w:t>质量，引领教师多元发展；整体规划，向美笃行，促进“弘雅”文化在学校各领域落地,培养具有弘雅特质的师生,成就学校的新优质发展。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年度目标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扎实开展“师德建设工程”，构建师德建设长效机制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增强教学研究、教学管理、教学质量、教师发展的有机融通，科学有效地提升教学质量。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以新北区“三名工程”、校级名师工作室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在实践中努力形塑教师专业技能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培育专业化教师队伍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sz w:val="24"/>
          <w:szCs w:val="24"/>
        </w:rPr>
        <w:t>、实施策略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ajorEastAsia"/>
          <w:b/>
          <w:color w:val="4472C4" w:themeColor="accent1"/>
          <w:kern w:val="0"/>
          <w:sz w:val="24"/>
          <w:szCs w:val="2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（一）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加强师德师风建设，树立良好教师职业形象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以活动为载体，借助学校“弘雅论坛”系列活动中的“道德讲坛”、“德育专题论坛”，对教师进行政治思想教育、心理健康教育和职业道德教育，使教师树立正确的世界观、人生观、价值观和教师职业观，建立新型的师生关系，强化教师自身修养，塑造良好的教师形象。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Times New Roman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theme="majorEastAsia"/>
          <w:b/>
          <w:color w:val="4472C4" w:themeColor="accent1"/>
          <w:kern w:val="0"/>
          <w:sz w:val="24"/>
          <w:szCs w:val="2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（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优化教师教研、科研工作，提高教师理论水平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4"/>
          <w:szCs w:val="24"/>
        </w:rPr>
        <w:t>重视学校统领性课题及各级课题研究工作。学校有2项市级以课题、教师参与校级以上课题或项目研究的比例不低于80%。</w:t>
      </w:r>
    </w:p>
    <w:p>
      <w:pPr>
        <w:adjustRightInd w:val="0"/>
        <w:snapToGrid w:val="0"/>
        <w:spacing w:line="360" w:lineRule="auto"/>
        <w:rPr>
          <w:rFonts w:hint="eastAsia" w:eastAsia="宋体" w:cs="Times New Roman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4"/>
          <w:szCs w:val="24"/>
        </w:rPr>
        <w:t>鼓励教师发现真问题、真解决问题，写出真论文，45周岁以下教师每学年完成一篇高质量论文，参加评奖或发表。年均有30%的教师在省级以上公开出版的报刊上发表论文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及获奖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241" w:firstLineChars="100"/>
        <w:jc w:val="left"/>
        <w:rPr>
          <w:rFonts w:hint="eastAsia" w:eastAsia="宋体" w:cs="Times New Roman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eastAsia="宋体" w:cs="Times New Roman" w:asciiTheme="minorEastAsia" w:hAnsi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eastAsia="宋体" w:cs="Times New Roman" w:asciiTheme="minorEastAsia" w:hAnsiTheme="minorEastAsia"/>
          <w:b/>
          <w:sz w:val="24"/>
          <w:szCs w:val="24"/>
        </w:rPr>
        <w:t>）</w:t>
      </w:r>
      <w:r>
        <w:rPr>
          <w:rFonts w:hint="eastAsia" w:eastAsia="宋体" w:cs="Times New Roman" w:asciiTheme="minorEastAsia" w:hAnsiTheme="minorEastAsia"/>
          <w:b/>
          <w:sz w:val="24"/>
          <w:szCs w:val="24"/>
          <w:lang w:val="en-US" w:eastAsia="zh-CN"/>
        </w:rPr>
        <w:t>搭建多元平台，锻炼教师教学基本功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1、集中暑期时间对新教师的各项能力进行专项培训，“暑期新教师培训”帮助新教师快速进入角色，适应教学。</w:t>
      </w:r>
      <w:r>
        <w:rPr>
          <w:rFonts w:hint="eastAsia" w:ascii="宋体" w:hAnsi="宋体" w:eastAsia="宋体" w:cs="Times New Roman"/>
          <w:bCs/>
          <w:sz w:val="24"/>
          <w:szCs w:val="24"/>
        </w:rPr>
        <w:t>以课例研究为载体，提高教师课堂教学水平。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通过每周的学科研究日活动</w:t>
      </w:r>
      <w:r>
        <w:rPr>
          <w:rFonts w:hint="eastAsia" w:ascii="宋体" w:hAnsi="宋体" w:eastAsia="宋体" w:cs="Times New Roman"/>
          <w:bCs/>
          <w:sz w:val="24"/>
          <w:szCs w:val="24"/>
        </w:rPr>
        <w:t>，搭建二实小教师自身专业发展“新型脚手架”。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2、借学科研究日对“专项能力”进行培训，利用“异域分享”，打通各学科壁垒，做到学科融通。</w:t>
      </w:r>
    </w:p>
    <w:p>
      <w:pPr>
        <w:adjustRightInd w:val="0"/>
        <w:snapToGrid w:val="0"/>
        <w:spacing w:line="360" w:lineRule="auto"/>
        <w:jc w:val="left"/>
        <w:rPr>
          <w:rFonts w:hint="default" w:eastAsia="宋体" w:cs="Times New Roman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Times New Roman"/>
          <w:sz w:val="24"/>
          <w:szCs w:val="24"/>
        </w:rPr>
        <w:t>加大聘请专家的力度，建设助推教师发展的专家智库，如“南师大吴永军教授”带领的课程建设专家团队、常州市教科院的课程教学专家团队、各级教研员等。以项目组为实施主体，聚焦“分层跨越成长”、“团队协作互助”。</w:t>
      </w:r>
    </w:p>
    <w:p>
      <w:pPr>
        <w:adjustRightInd w:val="0"/>
        <w:snapToGrid w:val="0"/>
        <w:spacing w:line="360" w:lineRule="auto"/>
        <w:ind w:firstLine="241" w:firstLineChars="1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（四）把脉教师发展现状，全员推进教师跨越式成长。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4"/>
          <w:szCs w:val="24"/>
        </w:rPr>
        <w:t>以青蓝工程、五级梯队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参评</w:t>
      </w:r>
      <w:r>
        <w:rPr>
          <w:rFonts w:hint="eastAsia" w:ascii="宋体" w:hAnsi="宋体" w:eastAsia="宋体" w:cs="Times New Roman"/>
          <w:sz w:val="24"/>
          <w:szCs w:val="24"/>
        </w:rPr>
        <w:t>培训、管理能力提升等为依托，对各阶段青年教师进行分层培养，</w:t>
      </w:r>
      <w:r>
        <w:rPr>
          <w:rFonts w:hint="eastAsia" w:ascii="宋体" w:hAnsi="宋体" w:eastAsia="宋体" w:cs="Times New Roman"/>
          <w:bCs/>
          <w:sz w:val="24"/>
          <w:szCs w:val="24"/>
        </w:rPr>
        <w:t>青年教师参加校级名师工作室、</w:t>
      </w:r>
      <w:r>
        <w:rPr>
          <w:rFonts w:hint="eastAsia" w:ascii="宋体" w:hAnsi="宋体" w:eastAsia="宋体" w:cs="Times New Roman"/>
          <w:sz w:val="24"/>
          <w:szCs w:val="24"/>
        </w:rPr>
        <w:t>各学科汇聚骨干教师之力，成立校级名师工作室，以点连线带面，促进学科组青年教师的快速成长。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4"/>
          <w:szCs w:val="24"/>
        </w:rPr>
        <w:t>名师工作室，定期开展活动，学校形成考核机制。</w:t>
      </w:r>
      <w:r>
        <w:rPr>
          <w:rFonts w:hint="eastAsia" w:ascii="宋体" w:hAnsi="宋体" w:eastAsia="宋体" w:cs="Times New Roman"/>
          <w:bCs/>
          <w:sz w:val="24"/>
          <w:szCs w:val="24"/>
        </w:rPr>
        <w:t>骨干教师、科研型教师，聘请专家，问诊把脉。领军型教师，聘请学术性专家一对一指导，提升学术研究能力，加速教师成长。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tbl>
      <w:tblPr>
        <w:tblStyle w:val="8"/>
        <w:tblpPr w:leftFromText="180" w:rightFromText="180" w:vertAnchor="text" w:horzAnchor="page" w:tblpX="652" w:tblpY="298"/>
        <w:tblOverlap w:val="never"/>
        <w:tblW w:w="110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61"/>
        <w:gridCol w:w="980"/>
        <w:gridCol w:w="1390"/>
        <w:gridCol w:w="2630"/>
        <w:gridCol w:w="600"/>
        <w:gridCol w:w="1110"/>
        <w:gridCol w:w="1380"/>
        <w:gridCol w:w="850"/>
        <w:gridCol w:w="850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0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0"/>
                <w:szCs w:val="30"/>
                <w:u w:val="single"/>
                <w:lang w:val="en-US" w:eastAsia="zh-CN"/>
              </w:rPr>
              <w:t>龙虎塘第二实验小学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0"/>
                <w:szCs w:val="30"/>
              </w:rPr>
              <w:t>校本培训活动计划表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培训项目名称（或类别）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培训主题或内容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培训形式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参训对象及人数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教师论坛之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寒假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阅读分享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第1周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专项能力培训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第2周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教师工作手册研制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第3周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ascii="等线" w:hAnsi="等线" w:eastAsia="等线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师德讲坛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第4周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弘雅论坛4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异域分享：英语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耿周霖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第5周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弘雅论坛5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德育专题论坛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第6周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3月回顾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徐佳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第2-6周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专项能力培训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第7周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清明节放假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第8周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ascii="等线" w:hAnsi="等线" w:eastAsia="等线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学科论坛（见通知）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第9周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ascii="等线" w:hAnsi="等线" w:eastAsia="等线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异域分享：综合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第10周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ascii="等线" w:hAnsi="等线" w:eastAsia="等线"/>
                <w:b w:val="0"/>
                <w:bCs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德育专题论坛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第7-10周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学科研究日培训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第11周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劳动节放假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第12周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4月回顾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蔡芬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第13周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第14周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德育讲坛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第11-14周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学科研究日培训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第15周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5月回顾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耿周霖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第16周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异域分享：综合实践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第17周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德育专题论坛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第18周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第15-18周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学科研究日培训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8月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8月15日—21日</w:t>
            </w:r>
          </w:p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（新教师培训）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新教师开班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教研组及备课组常规培训：以读促思  夯实常规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班主任培训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学校通识培训</w:t>
            </w:r>
          </w:p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（文化、常规、班级管理等）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青蓝结对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团队领导力建设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耿周霖</w:t>
            </w: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教学基本功训练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教学实况赏析、课堂教学能力培养、教学片段准备及展示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8月中下旬（学校管理层培训）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管理能力提升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行政人员课程领导能力提升、年级组长、教研组长、各学科骨干教师培训、管理层新学期计划交流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行政、骨干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副校长室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许华章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8月下旬（全体教师培训）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新学期培训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学科能力提升培训、读书交流、教科研能力提升培训、教师专项能力提升培训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副校长室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许华章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7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8月下旬（常规工作培训）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新学期展望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学科教材分析、班主任交接、学籍录入培训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副校长室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许华章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教师论坛之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寒假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阅读分享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第2周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教师工作手册研制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第3周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ascii="等线" w:hAnsi="等线" w:eastAsia="等线"/>
                <w:b w:val="0"/>
                <w:bCs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师德讲坛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第4周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弘雅论坛4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异域分享：语文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徐佳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第5周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9月回顾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徐佳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第1-5周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专项能力培训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第6周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国庆休息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第7周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弘雅论坛6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德育专题论坛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第8周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ascii="等线" w:hAnsi="等线" w:eastAsia="等线"/>
                <w:b w:val="0"/>
                <w:bCs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学科论坛（见通知）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第9周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ascii="等线" w:hAnsi="等线" w:eastAsia="等线"/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异域分享：数学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蔡芬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第7-9周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专项能力培训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第10周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10月回顾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第11周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德育专题论坛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第12周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第13周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德育讲坛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第10-13周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专项能力培训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第14周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11月回顾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耿周霖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第15周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异域分享：综合实践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第16周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德育专题论坛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第14-17周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专项能力培训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1月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12月回顾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蔡芬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学科论坛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德育讲坛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学生发展中心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吴静娟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</w:rPr>
              <w:t>弘雅论坛</w:t>
            </w: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学期总结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沙龙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第18-20周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专项能力培训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各学科学科研究日培训、校工作室活动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各学科教师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课程教学中心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荆亚琴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78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合计学时总数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0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442" w:hanging="361" w:hanging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培训项目课时：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弘雅论坛（师德讲坛、学科论坛、课程论坛、教师论坛）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72课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ind w:left="357" w:leftChars="170" w:firstLine="9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专项能力培训（学科专业能力培训、基本功培训、专业理论培训、专家培训等）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课时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  <w:p>
            <w:pPr>
              <w:widowControl/>
              <w:ind w:left="357" w:leftChars="170" w:firstLine="9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新教师培训（青蓝结对、基本功训练、班主任培训）：20课时，</w:t>
            </w:r>
          </w:p>
          <w:p>
            <w:pPr>
              <w:widowControl/>
              <w:ind w:left="357" w:leftChars="170" w:firstLine="9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学校管理层培训（理论学习、管理能力培训、专家讲座等）：8课时，</w:t>
            </w:r>
          </w:p>
          <w:p>
            <w:pPr>
              <w:widowControl/>
              <w:ind w:firstLine="1260" w:firstLineChars="7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开学讲座、培训（学科能力提升培训、读书交流、教科研能力提升培训、教师专项能力提升培训）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：12课时</w:t>
            </w:r>
          </w:p>
        </w:tc>
      </w:tr>
    </w:tbl>
    <w:p>
      <w:pPr>
        <w:pStyle w:val="2"/>
        <w:adjustRightInd w:val="0"/>
        <w:snapToGrid w:val="0"/>
        <w:spacing w:line="360" w:lineRule="exact"/>
        <w:rPr>
          <w:rFonts w:asciiTheme="majorEastAsia" w:hAnsiTheme="majorEastAsia" w:eastAsiaTheme="majorEastAsia"/>
          <w:color w:val="4472C4" w:themeColor="accent1"/>
          <w:sz w:val="24"/>
          <w14:textFill>
            <w14:solidFill>
              <w14:schemeClr w14:val="accent1"/>
            </w14:solidFill>
          </w14:textFill>
        </w:rPr>
      </w:pPr>
    </w:p>
    <w:p>
      <w:pPr>
        <w:pStyle w:val="2"/>
        <w:adjustRightInd w:val="0"/>
        <w:snapToGrid w:val="0"/>
        <w:spacing w:line="360" w:lineRule="exact"/>
        <w:ind w:firstLine="482" w:firstLineChars="20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龙虎塘第二实验小学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课程教学中心</w:t>
      </w:r>
    </w:p>
    <w:p>
      <w:pPr>
        <w:pStyle w:val="2"/>
        <w:adjustRightInd w:val="0"/>
        <w:snapToGrid w:val="0"/>
        <w:spacing w:line="360" w:lineRule="exact"/>
        <w:ind w:firstLine="482" w:firstLineChars="200"/>
        <w:jc w:val="righ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ascii="宋体" w:hAnsi="宋体"/>
          <w:b/>
          <w:sz w:val="24"/>
        </w:rPr>
        <w:t>202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ascii="宋体" w:hAnsi="宋体"/>
          <w:b/>
          <w:sz w:val="24"/>
        </w:rPr>
        <w:t>.2.</w:t>
      </w:r>
      <w:r>
        <w:rPr>
          <w:rFonts w:hint="eastAsia" w:ascii="宋体" w:hAnsi="宋体"/>
          <w:b/>
          <w:sz w:val="24"/>
          <w:lang w:val="en-US" w:eastAsia="zh-CN"/>
        </w:rPr>
        <w:t>9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946486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45535B"/>
    <w:multiLevelType w:val="singleLevel"/>
    <w:tmpl w:val="A94553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C3"/>
    <w:rsid w:val="001101A9"/>
    <w:rsid w:val="00172DEC"/>
    <w:rsid w:val="001A2DFE"/>
    <w:rsid w:val="0033535B"/>
    <w:rsid w:val="003D71D7"/>
    <w:rsid w:val="005E37B2"/>
    <w:rsid w:val="006D1514"/>
    <w:rsid w:val="007402BC"/>
    <w:rsid w:val="009622C3"/>
    <w:rsid w:val="009C053B"/>
    <w:rsid w:val="00C05DD4"/>
    <w:rsid w:val="00F52EE4"/>
    <w:rsid w:val="063C5316"/>
    <w:rsid w:val="1166621A"/>
    <w:rsid w:val="22EB6454"/>
    <w:rsid w:val="24B91B7E"/>
    <w:rsid w:val="24BF35D4"/>
    <w:rsid w:val="253E24CD"/>
    <w:rsid w:val="2D0E22EF"/>
    <w:rsid w:val="313412C4"/>
    <w:rsid w:val="420E50A0"/>
    <w:rsid w:val="44F63935"/>
    <w:rsid w:val="50A23F6D"/>
    <w:rsid w:val="52FD2DB9"/>
    <w:rsid w:val="53A33787"/>
    <w:rsid w:val="550C612D"/>
    <w:rsid w:val="5AA0386D"/>
    <w:rsid w:val="70DF286E"/>
    <w:rsid w:val="79B07DC6"/>
    <w:rsid w:val="7C25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spacing w:line="380" w:lineRule="exact"/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uiPriority w:val="0"/>
    <w:pPr>
      <w:spacing w:line="360" w:lineRule="exact"/>
      <w:ind w:firstLine="420" w:firstLineChars="200"/>
    </w:pPr>
  </w:style>
  <w:style w:type="paragraph" w:styleId="4">
    <w:name w:val="Balloon Text"/>
    <w:basedOn w:val="1"/>
    <w:link w:val="17"/>
    <w:uiPriority w:val="0"/>
    <w:pPr>
      <w:spacing w:line="380" w:lineRule="exact"/>
    </w:pPr>
    <w:rPr>
      <w:rFonts w:ascii="Times New Roman" w:hAnsi="Times New Roman" w:eastAsia="宋体" w:cs="Times New Roman"/>
      <w:sz w:val="16"/>
      <w:szCs w:val="16"/>
    </w:rPr>
  </w:style>
  <w:style w:type="paragraph" w:styleId="5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qFormat/>
    <w:uiPriority w:val="0"/>
    <w:pPr>
      <w:widowControl w:val="0"/>
      <w:spacing w:line="380" w:lineRule="exact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眉 字符"/>
    <w:basedOn w:val="11"/>
    <w:link w:val="6"/>
    <w:uiPriority w:val="0"/>
    <w:rPr>
      <w:sz w:val="18"/>
      <w:szCs w:val="18"/>
    </w:rPr>
  </w:style>
  <w:style w:type="character" w:customStyle="1" w:styleId="14">
    <w:name w:val="页脚 字符"/>
    <w:basedOn w:val="11"/>
    <w:link w:val="5"/>
    <w:uiPriority w:val="0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1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字符"/>
    <w:basedOn w:val="11"/>
    <w:link w:val="4"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1041</Words>
  <Characters>5934</Characters>
  <Lines>49</Lines>
  <Paragraphs>13</Paragraphs>
  <TotalTime>1</TotalTime>
  <ScaleCrop>false</ScaleCrop>
  <LinksUpToDate>false</LinksUpToDate>
  <CharactersWithSpaces>6962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2020-02-20T05:11:00Z</dcterms:created>
  <dc:creator>荆 亚琴</dc:creator>
  <cp:lastModifiedBy>麦子</cp:lastModifiedBy>
  <dcterms:modified xsi:type="dcterms:W3CDTF">2021-03-12T03:05:52Z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