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8F8"/>
  <w:body>
    <w:p>
      <w:pPr>
        <w:tabs>
          <w:tab w:val="left" w:pos="8820"/>
        </w:tabs>
        <w:jc w:val="center"/>
        <w:rPr>
          <w:rFonts w:ascii="华文中宋" w:hAnsi="华文中宋" w:eastAsia="华文中宋"/>
          <w:b/>
          <w:bCs/>
          <w:color w:val="FF0000"/>
          <w:sz w:val="80"/>
          <w:szCs w:val="80"/>
        </w:rPr>
      </w:pPr>
      <w:r>
        <w:rPr>
          <w:rFonts w:hint="eastAsia" w:ascii="仿宋" w:hAnsi="仿宋" w:eastAsia="仿宋"/>
          <w:b/>
          <w:bCs/>
          <w:sz w:val="100"/>
          <w:szCs w:val="100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margin">
              <wp:posOffset>180340</wp:posOffset>
            </wp:positionH>
            <wp:positionV relativeFrom="paragraph">
              <wp:posOffset>-161925</wp:posOffset>
            </wp:positionV>
            <wp:extent cx="1207135" cy="1204595"/>
            <wp:effectExtent l="0" t="0" r="0" b="0"/>
            <wp:wrapNone/>
            <wp:docPr id="1027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5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  <w:b/>
          <w:bCs/>
          <w:color w:val="FF0000"/>
          <w:sz w:val="80"/>
          <w:szCs w:val="80"/>
        </w:rPr>
        <w:t xml:space="preserve">简 </w:t>
      </w:r>
      <w:r>
        <w:rPr>
          <w:rFonts w:ascii="华文中宋" w:hAnsi="华文中宋" w:eastAsia="华文中宋"/>
          <w:b/>
          <w:bCs/>
          <w:color w:val="FF0000"/>
          <w:sz w:val="80"/>
          <w:szCs w:val="80"/>
        </w:rPr>
        <w:t xml:space="preserve"> </w:t>
      </w:r>
      <w:r>
        <w:rPr>
          <w:rFonts w:hint="eastAsia" w:ascii="华文中宋" w:hAnsi="华文中宋" w:eastAsia="华文中宋"/>
          <w:b/>
          <w:bCs/>
          <w:color w:val="FF0000"/>
          <w:sz w:val="80"/>
          <w:szCs w:val="80"/>
        </w:rPr>
        <w:t>报</w:t>
      </w:r>
    </w:p>
    <w:p>
      <w:pPr>
        <w:jc w:val="center"/>
        <w:rPr>
          <w:rFonts w:ascii="方正粗宋简体" w:eastAsia="方正粗宋简体"/>
          <w:b/>
          <w:bCs/>
          <w:color w:val="FF0000"/>
          <w:sz w:val="32"/>
        </w:rPr>
      </w:pPr>
      <w:r>
        <w:rPr>
          <w:rFonts w:hint="eastAsia" w:ascii="方正粗宋简体" w:eastAsia="方正粗宋简体"/>
          <w:b/>
          <w:bCs/>
          <w:color w:val="FF0000"/>
          <w:sz w:val="32"/>
        </w:rPr>
        <w:t xml:space="preserve">2020-2021学年 </w:t>
      </w:r>
      <w:r>
        <w:rPr>
          <w:rFonts w:ascii="方正粗宋简体" w:eastAsia="方正粗宋简体"/>
          <w:b/>
          <w:bCs/>
          <w:color w:val="FF0000"/>
          <w:sz w:val="32"/>
        </w:rPr>
        <w:t xml:space="preserve"> </w:t>
      </w:r>
      <w:r>
        <w:rPr>
          <w:rFonts w:hint="eastAsia" w:ascii="方正粗宋简体" w:eastAsia="方正粗宋简体"/>
          <w:b/>
          <w:bCs/>
          <w:color w:val="FF0000"/>
          <w:sz w:val="32"/>
        </w:rPr>
        <w:t>第  期</w:t>
      </w:r>
    </w:p>
    <w:p>
      <w:pPr>
        <w:snapToGrid w:val="0"/>
        <w:ind w:right="-932" w:rightChars="-444"/>
        <w:jc w:val="left"/>
        <w:rPr>
          <w:rFonts w:ascii="仿宋" w:hAnsi="仿宋" w:eastAsia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尼勒克县武进实验学校</w:t>
      </w:r>
      <w:r>
        <w:rPr>
          <w:rFonts w:ascii="仿宋_GB2312" w:eastAsia="仿宋_GB2312"/>
          <w:b/>
          <w:bCs/>
          <w:color w:val="FF0000"/>
          <w:sz w:val="28"/>
          <w:szCs w:val="28"/>
        </w:rPr>
        <w:t xml:space="preserve"> </w:t>
      </w:r>
      <w:r>
        <w:rPr>
          <w:rFonts w:hint="eastAsia" w:ascii="仿宋_GB2312" w:eastAsia="仿宋_GB2312"/>
          <w:b/>
          <w:bCs/>
          <w:color w:val="FF0000"/>
          <w:sz w:val="28"/>
          <w:szCs w:val="28"/>
        </w:rPr>
        <w:t xml:space="preserve">         </w:t>
      </w:r>
      <w:r>
        <w:rPr>
          <w:rFonts w:ascii="仿宋_GB2312" w:eastAsia="仿宋_GB2312"/>
          <w:b/>
          <w:bCs/>
          <w:color w:val="FF0000"/>
          <w:sz w:val="28"/>
          <w:szCs w:val="28"/>
        </w:rPr>
        <w:t xml:space="preserve">           </w:t>
      </w:r>
      <w:r>
        <w:rPr>
          <w:rFonts w:hint="eastAsia" w:ascii="仿宋_GB2312" w:eastAsia="仿宋_GB2312"/>
          <w:b/>
          <w:bCs/>
          <w:color w:val="FF0000"/>
          <w:sz w:val="28"/>
          <w:szCs w:val="28"/>
        </w:rPr>
        <w:t xml:space="preserve">    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2021年3月26日</w:t>
      </w:r>
    </w:p>
    <w:p>
      <w:pPr>
        <w:rPr>
          <w:rFonts w:ascii="仿宋_GB2312" w:hAnsi="宋体" w:eastAsia="仿宋_GB2312"/>
          <w:b/>
          <w:sz w:val="28"/>
          <w:szCs w:val="28"/>
        </w:rPr>
      </w:pPr>
      <w:r>
        <w:rPr>
          <w:rFonts w:ascii="仿宋_GB2312" w:hAnsi="宋体" w:eastAsia="仿宋_GB2312"/>
          <w:b/>
          <w:sz w:val="28"/>
          <w:szCs w:val="28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-208280</wp:posOffset>
                </wp:positionH>
                <wp:positionV relativeFrom="paragraph">
                  <wp:posOffset>99695</wp:posOffset>
                </wp:positionV>
                <wp:extent cx="6267450" cy="6985"/>
                <wp:effectExtent l="0" t="19050" r="38100" b="50165"/>
                <wp:wrapNone/>
                <wp:docPr id="1028" name="Lin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67450" cy="6985"/>
                        </a:xfrm>
                        <a:prstGeom prst="line">
                          <a:avLst/>
                        </a:prstGeom>
                        <a:ln w="57150" cap="flat" cmpd="thinThick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43" o:spid="_x0000_s1026" o:spt="20" style="position:absolute;left:0pt;flip:y;margin-left:-16.4pt;margin-top:7.85pt;height:0.55pt;width:493.5pt;z-index:251661312;mso-width-relative:page;mso-height-relative:page;" filled="f" stroked="t" coordsize="21600,21600" o:gfxdata="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SvlLtoAAAAJAQAADwAAAAAAAAABACAAAAAiAAAA&#10;ZHJzL2Rvd25yZXYueG1sUEsBAhQAFAAAAAgAh07iQByc8pbMAQAAmwMAAA4AAAAAAAAAAQAgAAAA&#10;KQEAAGRycy9lMm9Eb2MueG1sUEsFBgAAAAAGAAYAWQEAAGcFAAAAAA==&#10;">
                <v:fill on="f" focussize="0,0"/>
                <v:stroke weight="4.5pt" color="#FF0000" linestyle="thinThick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宋体" w:eastAsia="仿宋_GB2312"/>
          <w:b/>
          <w:sz w:val="28"/>
          <w:szCs w:val="28"/>
        </w:rPr>
        <w:t xml:space="preserve"> </w:t>
      </w:r>
      <w:r>
        <w:rPr>
          <w:rFonts w:ascii="仿宋_GB2312" w:hAnsi="宋体" w:eastAsia="仿宋_GB2312"/>
          <w:b/>
          <w:sz w:val="28"/>
          <w:szCs w:val="28"/>
        </w:rPr>
        <w:t xml:space="preserve"> </w:t>
      </w:r>
    </w:p>
    <w:p>
      <w:pPr>
        <w:jc w:val="center"/>
        <w:rPr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◎</w:t>
      </w:r>
      <w:r>
        <w:rPr>
          <w:rFonts w:hint="eastAsia" w:ascii="黑体" w:hAnsi="黑体" w:eastAsia="黑体"/>
          <w:b/>
          <w:sz w:val="36"/>
          <w:szCs w:val="36"/>
        </w:rPr>
        <w:t>聆听名师讲座 感受数学魅力</w:t>
      </w:r>
      <w:r>
        <w:rPr>
          <w:rFonts w:hint="eastAsia"/>
          <w:color w:val="FF0000"/>
          <w:sz w:val="28"/>
          <w:szCs w:val="28"/>
        </w:rPr>
        <w:t>◎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为转变教育教学理念，打造高质量数学课堂，提升学生数学核心素养，3月26日尼勒克县武进实验学校小学数学组开展线上培训，共同观看学习了吴正宪老师的讲座——《改变学习方式，促进“深度学习”》。吴正宪老师从“心中有儿童”、“深度学习——大单元整体教学探究”、“建墙与打通”等几个层面为大家传授了新的教育</w:t>
      </w:r>
      <w:bookmarkStart w:id="0" w:name="_GoBack"/>
      <w:bookmarkEnd w:id="0"/>
      <w:r>
        <w:rPr>
          <w:rFonts w:hint="eastAsia" w:ascii="仿宋" w:hAnsi="仿宋" w:eastAsia="仿宋"/>
          <w:sz w:val="28"/>
          <w:szCs w:val="28"/>
        </w:rPr>
        <w:t>观念。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3176270</wp:posOffset>
            </wp:positionH>
            <wp:positionV relativeFrom="paragraph">
              <wp:posOffset>626745</wp:posOffset>
            </wp:positionV>
            <wp:extent cx="2826385" cy="2123440"/>
            <wp:effectExtent l="0" t="0" r="0" b="0"/>
            <wp:wrapSquare wrapText="bothSides"/>
            <wp:docPr id="4" name="图片 4" descr="C:\Users\ADMINI~1\AppData\Local\Temp\WeChat Files\f71fa2506aab8aea2df741ddad65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f71fa2506aab8aea2df741ddad652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28"/>
        </w:rPr>
        <w:t>吴正宪老师提到，作为一名教师，必须做到心中有儿童。我们要打造的高质量课堂应该是能让学生全身心投入的课堂。学生对学习有积极的期待，教师能充分调动学生的学习兴趣、求知欲望，呵护学生的好奇心、自信心，把学生带到数学世界中去。心中有人的教育，教书育人，立德树人，这是根本。她一阵见血地指出：要改变学生学习方式，建立单元学习主题，进行大单元整体教学势在必行。这就需要教师进行知识整合，不只是学科内部的整合，还包括跨学科的综合实践。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她认为“建好‘承重墙’”的本质是抓住核心，建立整体结构，凸显</w:t>
      </w:r>
      <w:r>
        <w:rPr>
          <w:rFonts w:ascii="仿宋" w:hAnsi="仿宋" w:eastAsia="仿宋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-398145</wp:posOffset>
            </wp:positionV>
            <wp:extent cx="2543175" cy="2550795"/>
            <wp:effectExtent l="0" t="0" r="9525" b="1905"/>
            <wp:wrapSquare wrapText="bothSides"/>
            <wp:docPr id="9" name="图片 9" descr="C:\Users\ADMINI~1\AppData\Local\Temp\162074589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1620745898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28"/>
        </w:rPr>
        <w:t>本质。教师应该做的就是集中火力找到发力点，集中发力点，使学生思维进阶，实现单元学习主题下的深度学习。这个发力点就是单元学习主题中的“大问题”，教师应以以挑战性的任务驱动开展主题学习，引导学生认知冲突，促进学生参与深度探究学习活动，并在此过程中关注学生持续性发展。从能力上讲，建好</w:t>
      </w:r>
      <w:r>
        <w:rPr>
          <w:rFonts w:ascii="仿宋" w:hAnsi="仿宋" w:eastAsia="仿宋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2971800</wp:posOffset>
            </wp:positionV>
            <wp:extent cx="3169920" cy="360934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28"/>
        </w:rPr>
        <w:t>“承重墙”就是培养学生数学核心素养，使学生能以数学的眼光观察世界，以数学的思维分析世界，以数学的语言描述世界。关于“打通‘隔断墙’”，她阐释道：以数学核心内容为线索确定“单元学习主题”后，围绕核心内容寻找零散的、碎片化的知识之间的一致性，建立起具有整体性、系统性、逻辑性的知识结构，在单元整体教学设计与实践中培养学生结构性思维。吴老师以“数与运算”主题教学为例，深入剖析如何把握整体结构，促进深度学习。为了更好地理解这一内容，需要沟通不同数域之间的联系，感悟数本质的一致性。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全体数学老师通过细细品味吴正宪的报告、观看其大单元整体教学课例片段，教育观念得到了进一步的更新，对于大单元整体教学有了更深刻的认识。</w:t>
      </w:r>
    </w:p>
    <w:p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-444500</wp:posOffset>
            </wp:positionV>
            <wp:extent cx="2825115" cy="2790825"/>
            <wp:effectExtent l="0" t="0" r="0" b="9525"/>
            <wp:wrapSquare wrapText="bothSides"/>
            <wp:docPr id="8" name="图片 8" descr="C:\Users\ADMINI~1\AppData\Local\Temp\16207458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1620745861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28"/>
        </w:rPr>
        <w:t>如何建立承重墙、打通隔断墙？又如何以儿童的发展为本，创造有深度的课堂？这些问题都需要老师们继续探究和不断实践。小学数学教研组将继续在专家团队的引领下，深入研究，打造高质量数学课堂，真正做到读懂数学，读懂课堂，读懂儿童；使每一个孩子在充满魅力的高质量课堂上积极投入学习的怀抱，学会学习、全面发展、快乐成长。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ind w:firstLine="640" w:firstLineChars="200"/>
        <w:rPr>
          <w:rFonts w:ascii="宋体" w:hAnsi="宋体" w:cs="宋体"/>
          <w:sz w:val="32"/>
          <w:szCs w:val="32"/>
        </w:rPr>
      </w:pPr>
      <w:r>
        <w:rPr>
          <w:rFonts w:ascii="宋体" w:hAnsi="宋体" w:cs="宋体"/>
          <w:sz w:val="32"/>
          <w:szCs w:val="32"/>
        </w:rPr>
        <w:drawing>
          <wp:inline distT="0" distB="0" distL="0" distR="0">
            <wp:extent cx="4524375" cy="2366645"/>
            <wp:effectExtent l="0" t="0" r="0" b="0"/>
            <wp:docPr id="7" name="图片 7" descr="C:\Users\ADMINI~1\AppData\Local\Temp\16207458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1620745819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36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276" w:lineRule="auto"/>
        <w:ind w:right="-932" w:rightChars="-444"/>
        <w:jc w:val="left"/>
        <w:rPr>
          <w:rFonts w:hint="eastAsia" w:ascii="方正大黑简体" w:hAnsi="宋体" w:eastAsia="方正大黑简体"/>
          <w:b/>
          <w:color w:val="FFFFFF"/>
          <w:sz w:val="32"/>
          <w:szCs w:val="32"/>
          <w:shd w:val="clear" w:color="auto" w:fill="FF0000"/>
        </w:rPr>
      </w:pPr>
    </w:p>
    <w:p>
      <w:pPr>
        <w:snapToGrid w:val="0"/>
        <w:spacing w:line="276" w:lineRule="auto"/>
        <w:ind w:right="-932" w:rightChars="-444"/>
        <w:jc w:val="left"/>
        <w:rPr>
          <w:rFonts w:hint="eastAsia" w:ascii="方正大黑简体" w:hAnsi="宋体" w:eastAsia="方正大黑简体"/>
          <w:b/>
          <w:color w:val="FFFFFF"/>
          <w:sz w:val="32"/>
          <w:szCs w:val="32"/>
          <w:shd w:val="clear" w:color="auto" w:fill="FF0000"/>
        </w:rPr>
      </w:pPr>
    </w:p>
    <w:p>
      <w:pPr>
        <w:snapToGrid w:val="0"/>
        <w:spacing w:line="276" w:lineRule="auto"/>
        <w:ind w:right="-932" w:rightChars="-444"/>
        <w:jc w:val="left"/>
        <w:rPr>
          <w:rFonts w:hint="eastAsia" w:ascii="方正大黑简体" w:hAnsi="宋体" w:eastAsia="方正大黑简体"/>
          <w:b/>
          <w:color w:val="FFFFFF"/>
          <w:sz w:val="32"/>
          <w:szCs w:val="32"/>
          <w:shd w:val="clear" w:color="auto" w:fill="FF0000"/>
        </w:rPr>
      </w:pPr>
    </w:p>
    <w:p>
      <w:pPr>
        <w:snapToGrid w:val="0"/>
        <w:spacing w:line="276" w:lineRule="auto"/>
        <w:ind w:right="-932" w:rightChars="-444"/>
        <w:jc w:val="left"/>
        <w:rPr>
          <w:rFonts w:ascii="方正大黑简体" w:hAnsi="宋体" w:eastAsia="方正大黑简体"/>
          <w:b/>
          <w:color w:val="FFFFFF"/>
          <w:sz w:val="32"/>
          <w:szCs w:val="32"/>
          <w:shd w:val="clear" w:color="auto" w:fill="FF0000"/>
        </w:rPr>
      </w:pPr>
    </w:p>
    <w:tbl>
      <w:tblPr>
        <w:tblStyle w:val="7"/>
        <w:tblpPr w:leftFromText="180" w:rightFromText="180" w:vertAnchor="text" w:horzAnchor="margin" w:tblpY="354"/>
        <w:tblW w:w="9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8"/>
        <w:gridCol w:w="3158"/>
        <w:gridCol w:w="31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9480" w:type="dxa"/>
            <w:gridSpan w:val="3"/>
          </w:tcPr>
          <w:p>
            <w:pPr>
              <w:snapToGrid w:val="0"/>
              <w:spacing w:line="240" w:lineRule="atLeast"/>
              <w:contextualSpacing/>
              <w:rPr>
                <w:rStyle w:val="9"/>
                <w:rFonts w:ascii="仿宋" w:hAnsi="仿宋" w:eastAsia="仿宋"/>
                <w:b w:val="0"/>
                <w:bCs w:val="0"/>
                <w:color w:val="000000"/>
                <w:kern w:val="0"/>
                <w:sz w:val="28"/>
                <w:szCs w:val="28"/>
              </w:rPr>
            </w:pPr>
            <w:r>
              <w:rPr>
                <w:rStyle w:val="9"/>
                <w:rFonts w:hint="eastAsia" w:ascii="仿宋" w:hAnsi="仿宋" w:eastAsia="仿宋"/>
                <w:color w:val="000000"/>
                <w:kern w:val="0"/>
                <w:sz w:val="28"/>
                <w:szCs w:val="28"/>
              </w:rPr>
              <w:t>抄报：尼勒克县教育局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9480" w:type="dxa"/>
            <w:gridSpan w:val="3"/>
          </w:tcPr>
          <w:p>
            <w:pPr>
              <w:snapToGrid w:val="0"/>
              <w:spacing w:line="240" w:lineRule="atLeast"/>
              <w:contextualSpacing/>
              <w:rPr>
                <w:rStyle w:val="9"/>
                <w:rFonts w:ascii="仿宋" w:hAnsi="仿宋" w:eastAsia="仿宋"/>
                <w:b w:val="0"/>
                <w:bCs w:val="0"/>
                <w:color w:val="000000"/>
                <w:kern w:val="0"/>
                <w:sz w:val="28"/>
                <w:szCs w:val="28"/>
              </w:rPr>
            </w:pPr>
            <w:r>
              <w:rPr>
                <w:rStyle w:val="9"/>
                <w:rFonts w:hint="eastAsia" w:ascii="仿宋" w:hAnsi="仿宋" w:eastAsia="仿宋"/>
                <w:color w:val="000000"/>
                <w:kern w:val="0"/>
                <w:sz w:val="28"/>
                <w:szCs w:val="28"/>
              </w:rPr>
              <w:t>抄送：尼勒克县武进实验学校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3158" w:type="dxa"/>
          </w:tcPr>
          <w:p>
            <w:pPr>
              <w:snapToGrid w:val="0"/>
              <w:spacing w:line="240" w:lineRule="atLeast"/>
              <w:contextualSpacing/>
              <w:rPr>
                <w:rStyle w:val="9"/>
                <w:rFonts w:ascii="仿宋" w:hAnsi="仿宋" w:eastAsia="仿宋"/>
                <w:b w:val="0"/>
                <w:bCs w:val="0"/>
                <w:color w:val="000000"/>
                <w:kern w:val="0"/>
                <w:sz w:val="28"/>
                <w:szCs w:val="28"/>
              </w:rPr>
            </w:pPr>
            <w:r>
              <w:rPr>
                <w:rStyle w:val="9"/>
                <w:rFonts w:hint="eastAsia" w:ascii="仿宋" w:hAnsi="仿宋" w:eastAsia="仿宋"/>
                <w:color w:val="000000"/>
                <w:kern w:val="0"/>
                <w:sz w:val="28"/>
                <w:szCs w:val="28"/>
              </w:rPr>
              <w:t>撰稿人：王利敏</w:t>
            </w:r>
          </w:p>
        </w:tc>
        <w:tc>
          <w:tcPr>
            <w:tcW w:w="3158" w:type="dxa"/>
          </w:tcPr>
          <w:p>
            <w:pPr>
              <w:snapToGrid w:val="0"/>
              <w:spacing w:line="240" w:lineRule="atLeast"/>
              <w:contextualSpacing/>
              <w:rPr>
                <w:rStyle w:val="9"/>
                <w:rFonts w:ascii="仿宋" w:hAnsi="仿宋" w:eastAsia="仿宋"/>
                <w:b w:val="0"/>
                <w:bCs w:val="0"/>
                <w:color w:val="000000"/>
                <w:kern w:val="0"/>
                <w:sz w:val="28"/>
                <w:szCs w:val="28"/>
              </w:rPr>
            </w:pPr>
            <w:r>
              <w:rPr>
                <w:rStyle w:val="9"/>
                <w:rFonts w:hint="eastAsia" w:ascii="仿宋" w:hAnsi="仿宋" w:eastAsia="仿宋"/>
                <w:color w:val="000000"/>
                <w:kern w:val="0"/>
                <w:sz w:val="28"/>
                <w:szCs w:val="28"/>
              </w:rPr>
              <w:t>审核：柯金虎</w:t>
            </w:r>
          </w:p>
        </w:tc>
        <w:tc>
          <w:tcPr>
            <w:tcW w:w="3164" w:type="dxa"/>
          </w:tcPr>
          <w:p>
            <w:pPr>
              <w:snapToGrid w:val="0"/>
              <w:spacing w:line="240" w:lineRule="atLeast"/>
              <w:contextualSpacing/>
              <w:rPr>
                <w:rStyle w:val="9"/>
                <w:rFonts w:ascii="仿宋" w:hAnsi="仿宋" w:eastAsia="仿宋"/>
                <w:b w:val="0"/>
                <w:bCs w:val="0"/>
                <w:color w:val="000000"/>
                <w:kern w:val="0"/>
                <w:sz w:val="28"/>
                <w:szCs w:val="28"/>
              </w:rPr>
            </w:pPr>
            <w:r>
              <w:rPr>
                <w:rStyle w:val="9"/>
                <w:rFonts w:hint="eastAsia" w:ascii="仿宋" w:hAnsi="仿宋" w:eastAsia="仿宋"/>
                <w:color w:val="000000"/>
                <w:kern w:val="0"/>
                <w:sz w:val="28"/>
                <w:szCs w:val="28"/>
              </w:rPr>
              <w:t>责任编辑：陈新裕</w:t>
            </w:r>
          </w:p>
        </w:tc>
      </w:tr>
    </w:tbl>
    <w:p>
      <w:pPr>
        <w:adjustRightInd w:val="0"/>
        <w:snapToGrid w:val="0"/>
        <w:spacing w:line="312" w:lineRule="auto"/>
      </w:pPr>
      <w:r>
        <w:rPr>
          <w:rFonts w:ascii="仿宋_GB2312" w:hAnsi="宋体" w:eastAsia="仿宋_GB2312"/>
          <w:b/>
          <w:sz w:val="28"/>
          <w:szCs w:val="28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margin">
                  <wp:posOffset>-161925</wp:posOffset>
                </wp:positionH>
                <wp:positionV relativeFrom="paragraph">
                  <wp:posOffset>31750</wp:posOffset>
                </wp:positionV>
                <wp:extent cx="6267450" cy="6985"/>
                <wp:effectExtent l="0" t="19050" r="19050" b="50165"/>
                <wp:wrapNone/>
                <wp:docPr id="1030" name="Lin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67450" cy="6985"/>
                        </a:xfrm>
                        <a:prstGeom prst="line">
                          <a:avLst/>
                        </a:prstGeom>
                        <a:ln w="57150" cap="flat" cmpd="thinThick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43" o:spid="_x0000_s1026" o:spt="20" style="position:absolute;left:0pt;flip:y;margin-left:-12.75pt;margin-top:2.5pt;height:0.55pt;width:493.5pt;mso-position-horizontal-relative:margin;z-index:251661312;mso-width-relative:page;mso-height-relative:page;" filled="f" stroked="t" coordsize="21600,21600" o:gfxdata="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wDNuR1gAAAAcBAAAPAAAAAAAAAAEAIAAAACIAAABkcnMv&#10;ZG93bnJldi54bWxQSwECFAAUAAAACACHTuJAXGyMjMwBAACbAwAADgAAAAAAAAABACAAAAAlAQAA&#10;ZHJzL2Uyb0RvYy54bWxQSwUGAAAAAAYABgBZAQAAYwUAAAAA&#10;">
                <v:fill on="f" focussize="0,0"/>
                <v:stroke weight="4.5pt" color="#FF0000" linestyle="thinThick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adjustRightInd w:val="0"/>
        <w:snapToGrid w:val="0"/>
        <w:spacing w:line="312" w:lineRule="auto"/>
        <w:jc w:val="right"/>
      </w:pPr>
      <w:r>
        <w:rPr>
          <w:rFonts w:ascii="仿宋_GB2312" w:hAnsi="宋体" w:eastAsia="仿宋_GB2312"/>
          <w:b/>
          <w:sz w:val="28"/>
          <w:szCs w:val="28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margin">
                  <wp:posOffset>-161925</wp:posOffset>
                </wp:positionH>
                <wp:positionV relativeFrom="paragraph">
                  <wp:posOffset>937260</wp:posOffset>
                </wp:positionV>
                <wp:extent cx="6267450" cy="6985"/>
                <wp:effectExtent l="0" t="19050" r="19050" b="50165"/>
                <wp:wrapNone/>
                <wp:docPr id="10" name="Lin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67450" cy="6985"/>
                        </a:xfrm>
                        <a:prstGeom prst="line">
                          <a:avLst/>
                        </a:prstGeom>
                        <a:ln w="57150" cap="flat" cmpd="thinThick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43" o:spid="_x0000_s1026" o:spt="20" style="position:absolute;left:0pt;flip:y;margin-left:-12.75pt;margin-top:73.8pt;height:0.55pt;width:493.5pt;mso-position-horizontal-relative:margin;z-index:251665408;mso-width-relative:page;mso-height-relative:page;" filled="f" stroked="t" coordsize="21600,21600" o:gfxdata="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OVQnGHaAAAACwEAAA8AAAAAAAAAAQAgAAAAIgAAAGRy&#10;cy9kb3ducmV2LnhtbFBLAQIUABQAAAAIAIdO4kCbgiqMygEAAJkDAAAOAAAAAAAAAAEAIAAAACkB&#10;AABkcnMvZTJvRG9jLnhtbFBLBQYAAAAABgAGAFkBAABlBQAAAAA=&#10;">
                <v:fill on="f" focussize="0,0"/>
                <v:stroke weight="4.5pt" color="#FF0000" linestyle="thinThick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adjustRightInd w:val="0"/>
        <w:snapToGrid w:val="0"/>
        <w:spacing w:line="312" w:lineRule="auto"/>
      </w:pPr>
    </w:p>
    <w:sectPr>
      <w:footerReference r:id="rId3" w:type="default"/>
      <w:pgSz w:w="11906" w:h="16838"/>
      <w:pgMar w:top="1440" w:right="141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2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粗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大黑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 w:ascii="方正大黑简体" w:hAnsi="宋体" w:eastAsia="方正大黑简体"/>
        <w:b/>
        <w:color w:val="FFFFFF"/>
        <w:sz w:val="32"/>
        <w:szCs w:val="32"/>
        <w:shd w:val="clear" w:color="auto" w:fill="FF0000"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-949325</wp:posOffset>
          </wp:positionH>
          <wp:positionV relativeFrom="paragraph">
            <wp:posOffset>-347345</wp:posOffset>
          </wp:positionV>
          <wp:extent cx="7608570" cy="1316355"/>
          <wp:effectExtent l="0" t="0" r="0" b="17145"/>
          <wp:wrapNone/>
          <wp:docPr id="4097" name="图片 14" descr="0c70f30de8efde1ae51b255eddbdc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4" descr="0c70f30de8efde1ae51b255eddbdcff"/>
                  <pic:cNvPicPr/>
                </pic:nvPicPr>
                <pic:blipFill>
                  <a:blip r:embed="rId1" cstate="print"/>
                  <a:srcRect t="21054" b="18773"/>
                  <a:stretch>
                    <a:fillRect/>
                  </a:stretch>
                </pic:blipFill>
                <pic:spPr>
                  <a:xfrm>
                    <a:off x="0" y="0"/>
                    <a:ext cx="7608570" cy="1316355"/>
                  </a:xfrm>
                  <a:prstGeom prst="rect">
                    <a:avLst/>
                  </a:prstGeom>
                  <a:effectLst>
                    <a:softEdge rad="317500"/>
                  </a:effectLst>
                </pic:spPr>
              </pic:pic>
            </a:graphicData>
          </a:graphic>
        </wp:anchor>
      </w:drawing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27C"/>
    <w:rsid w:val="00387EDD"/>
    <w:rsid w:val="003C346F"/>
    <w:rsid w:val="009C288C"/>
    <w:rsid w:val="00A3727C"/>
    <w:rsid w:val="00CE3D32"/>
    <w:rsid w:val="00F514B9"/>
    <w:rsid w:val="01B14A30"/>
    <w:rsid w:val="05BD265B"/>
    <w:rsid w:val="05DF07E1"/>
    <w:rsid w:val="09E55425"/>
    <w:rsid w:val="0AC77E70"/>
    <w:rsid w:val="0C1024A2"/>
    <w:rsid w:val="0FF378D8"/>
    <w:rsid w:val="109C4BAA"/>
    <w:rsid w:val="13852394"/>
    <w:rsid w:val="16F12D65"/>
    <w:rsid w:val="19431F84"/>
    <w:rsid w:val="2000577B"/>
    <w:rsid w:val="202E6A1B"/>
    <w:rsid w:val="204529D9"/>
    <w:rsid w:val="21D15E76"/>
    <w:rsid w:val="24350EDE"/>
    <w:rsid w:val="26247460"/>
    <w:rsid w:val="27092D9A"/>
    <w:rsid w:val="2A42017F"/>
    <w:rsid w:val="2A4C5152"/>
    <w:rsid w:val="36647CAA"/>
    <w:rsid w:val="3776029B"/>
    <w:rsid w:val="3B61042A"/>
    <w:rsid w:val="3B8E78D2"/>
    <w:rsid w:val="3C965C85"/>
    <w:rsid w:val="411B2199"/>
    <w:rsid w:val="4B7B4A15"/>
    <w:rsid w:val="52DF1B8F"/>
    <w:rsid w:val="535F3BE1"/>
    <w:rsid w:val="53C069FA"/>
    <w:rsid w:val="54B830AB"/>
    <w:rsid w:val="55174FAE"/>
    <w:rsid w:val="56531500"/>
    <w:rsid w:val="57A53DAC"/>
    <w:rsid w:val="5CFA0BDC"/>
    <w:rsid w:val="60314E1B"/>
    <w:rsid w:val="63F836DE"/>
    <w:rsid w:val="69DC6B2B"/>
    <w:rsid w:val="6C575802"/>
    <w:rsid w:val="6DE42106"/>
    <w:rsid w:val="6DE51B64"/>
    <w:rsid w:val="709133B0"/>
    <w:rsid w:val="71BF4385"/>
    <w:rsid w:val="722B7363"/>
    <w:rsid w:val="72853BC2"/>
    <w:rsid w:val="73C51098"/>
    <w:rsid w:val="73CD1E66"/>
    <w:rsid w:val="743C18B1"/>
    <w:rsid w:val="7517562A"/>
    <w:rsid w:val="76BD4BA5"/>
    <w:rsid w:val="7B3D5DB7"/>
    <w:rsid w:val="7CCC2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customStyle="1" w:styleId="10">
    <w:name w:val="页眉 Char"/>
    <w:basedOn w:val="8"/>
    <w:link w:val="4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页脚 Char"/>
    <w:basedOn w:val="8"/>
    <w:link w:val="3"/>
    <w:qFormat/>
    <w:uiPriority w:val="99"/>
    <w:rPr>
      <w:rFonts w:ascii="Calibri" w:hAnsi="Calibri" w:eastAsia="宋体" w:cs="Times New Roman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8"/>
    <w:link w:val="2"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1060</Words>
  <Characters>87</Characters>
  <Lines>1</Lines>
  <Paragraphs>2</Paragraphs>
  <TotalTime>48</TotalTime>
  <ScaleCrop>false</ScaleCrop>
  <LinksUpToDate>false</LinksUpToDate>
  <CharactersWithSpaces>1145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2020-08-30T04:54:00Z</dcterms:created>
  <dc:creator>宣艳 王</dc:creator>
  <cp:lastModifiedBy>曾玉芳</cp:lastModifiedBy>
  <cp:lastPrinted>2020-09-27T08:17:00Z</cp:lastPrinted>
  <dcterms:modified xsi:type="dcterms:W3CDTF">2021-05-11T15:20:39Z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79B0A1FE0CBE4EC1ADBCCA3139FF46E4</vt:lpwstr>
  </property>
</Properties>
</file>