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D31B" w14:textId="77777777" w:rsidR="007A591D" w:rsidRDefault="007078A0">
      <w:pPr>
        <w:spacing w:line="2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东青实验学校“生命课堂”教学实施过程评价表</w:t>
      </w:r>
    </w:p>
    <w:p w14:paraId="79BF7FC2" w14:textId="77777777" w:rsidR="007A591D" w:rsidRDefault="007A591D">
      <w:pPr>
        <w:rPr>
          <w:vanish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429"/>
        <w:gridCol w:w="808"/>
        <w:gridCol w:w="2516"/>
        <w:gridCol w:w="1326"/>
        <w:gridCol w:w="702"/>
        <w:gridCol w:w="703"/>
      </w:tblGrid>
      <w:tr w:rsidR="00284C41" w14:paraId="04F0A837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42952439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1437" w:type="dxa"/>
            <w:vAlign w:val="center"/>
          </w:tcPr>
          <w:p w14:paraId="6E9B642A" w14:textId="6B30D366" w:rsidR="007A591D" w:rsidRDefault="00284C4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沈虹</w:t>
            </w:r>
          </w:p>
        </w:tc>
        <w:tc>
          <w:tcPr>
            <w:tcW w:w="829" w:type="dxa"/>
            <w:vAlign w:val="center"/>
          </w:tcPr>
          <w:p w14:paraId="5A5E87B5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学科</w:t>
            </w:r>
          </w:p>
        </w:tc>
        <w:tc>
          <w:tcPr>
            <w:tcW w:w="2629" w:type="dxa"/>
            <w:vAlign w:val="center"/>
          </w:tcPr>
          <w:p w14:paraId="77890CAF" w14:textId="11A19B2C" w:rsidR="007A591D" w:rsidRDefault="00284C4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数学</w:t>
            </w:r>
          </w:p>
        </w:tc>
        <w:tc>
          <w:tcPr>
            <w:tcW w:w="1375" w:type="dxa"/>
            <w:vAlign w:val="center"/>
          </w:tcPr>
          <w:p w14:paraId="5FB87EEC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班级</w:t>
            </w:r>
          </w:p>
        </w:tc>
        <w:tc>
          <w:tcPr>
            <w:tcW w:w="1435" w:type="dxa"/>
            <w:gridSpan w:val="2"/>
            <w:vAlign w:val="center"/>
          </w:tcPr>
          <w:p w14:paraId="43EA0C8F" w14:textId="0A8226C7" w:rsidR="007A591D" w:rsidRDefault="00284C4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八（2）</w:t>
            </w:r>
          </w:p>
        </w:tc>
      </w:tr>
      <w:tr w:rsidR="007F4B9E" w14:paraId="754C3A5C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1F71E66D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时间</w:t>
            </w:r>
          </w:p>
        </w:tc>
        <w:tc>
          <w:tcPr>
            <w:tcW w:w="1437" w:type="dxa"/>
            <w:vAlign w:val="center"/>
          </w:tcPr>
          <w:p w14:paraId="6FA1B006" w14:textId="2241C695" w:rsidR="007A591D" w:rsidRDefault="00284C4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  <w:r>
              <w:rPr>
                <w:rFonts w:ascii="宋体"/>
                <w:b/>
                <w:szCs w:val="21"/>
              </w:rPr>
              <w:t>019.12.26</w:t>
            </w:r>
          </w:p>
        </w:tc>
        <w:tc>
          <w:tcPr>
            <w:tcW w:w="829" w:type="dxa"/>
            <w:vAlign w:val="center"/>
          </w:tcPr>
          <w:p w14:paraId="28EABA83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</w:t>
            </w:r>
          </w:p>
        </w:tc>
        <w:tc>
          <w:tcPr>
            <w:tcW w:w="5439" w:type="dxa"/>
            <w:gridSpan w:val="4"/>
            <w:vAlign w:val="center"/>
          </w:tcPr>
          <w:p w14:paraId="5001EF75" w14:textId="22F82A31" w:rsidR="007A591D" w:rsidRDefault="00284C41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函数的表示方法</w:t>
            </w:r>
          </w:p>
        </w:tc>
      </w:tr>
      <w:tr w:rsidR="007A591D" w14:paraId="4E610B28" w14:textId="77777777">
        <w:trPr>
          <w:cantSplit/>
          <w:trHeight w:val="423"/>
        </w:trPr>
        <w:tc>
          <w:tcPr>
            <w:tcW w:w="739" w:type="dxa"/>
            <w:vAlign w:val="center"/>
          </w:tcPr>
          <w:p w14:paraId="0867D9FB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</w:t>
            </w:r>
          </w:p>
        </w:tc>
        <w:tc>
          <w:tcPr>
            <w:tcW w:w="6270" w:type="dxa"/>
            <w:gridSpan w:val="4"/>
            <w:vAlign w:val="center"/>
          </w:tcPr>
          <w:p w14:paraId="13221DB8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>
              <w:rPr>
                <w:rFonts w:ascii="宋体" w:hint="eastAsia"/>
                <w:b/>
                <w:szCs w:val="21"/>
              </w:rPr>
              <w:t>价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>
              <w:rPr>
                <w:rFonts w:ascii="宋体" w:hint="eastAsia"/>
                <w:b/>
                <w:szCs w:val="21"/>
              </w:rPr>
              <w:t>指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>
              <w:rPr>
                <w:rFonts w:ascii="宋体" w:hint="eastAsia"/>
                <w:b/>
                <w:szCs w:val="21"/>
              </w:rPr>
              <w:t>标</w:t>
            </w:r>
          </w:p>
        </w:tc>
        <w:tc>
          <w:tcPr>
            <w:tcW w:w="1435" w:type="dxa"/>
            <w:gridSpan w:val="2"/>
            <w:vAlign w:val="center"/>
          </w:tcPr>
          <w:p w14:paraId="1EDAE3C7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评分</w:t>
            </w:r>
          </w:p>
        </w:tc>
      </w:tr>
      <w:tr w:rsidR="00284C41" w14:paraId="57DF9068" w14:textId="77777777">
        <w:trPr>
          <w:cantSplit/>
          <w:trHeight w:val="641"/>
        </w:trPr>
        <w:tc>
          <w:tcPr>
            <w:tcW w:w="739" w:type="dxa"/>
            <w:vAlign w:val="center"/>
          </w:tcPr>
          <w:p w14:paraId="7BF5CA68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一、</w:t>
            </w:r>
          </w:p>
          <w:p w14:paraId="1F62DF8F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新课导入</w:t>
            </w:r>
          </w:p>
          <w:p w14:paraId="2F273A75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0EFA5540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</w:t>
            </w:r>
            <w:r>
              <w:rPr>
                <w:rFonts w:ascii="宋体" w:hint="eastAsia"/>
                <w:b/>
                <w:szCs w:val="21"/>
              </w:rPr>
              <w:t>．合理开放</w:t>
            </w:r>
          </w:p>
        </w:tc>
        <w:tc>
          <w:tcPr>
            <w:tcW w:w="4833" w:type="dxa"/>
            <w:gridSpan w:val="3"/>
            <w:vAlign w:val="center"/>
          </w:tcPr>
          <w:p w14:paraId="34A53B50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基于学生已有知识与经验，内含从不同角度、不同水平回答的可能，设计开放性问题情境，促进学生进行多角度、多层次的独立思考，并对学生不同回答作出反应、梳理和引导，促进学生生成丰富的基础性资源，及时进行资源整合，准确把握学生进入相关学习的初始状态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E13558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14:paraId="77C83D2B" w14:textId="492BEF3F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</w:tr>
      <w:tr w:rsidR="00284C41" w14:paraId="023D24F9" w14:textId="77777777">
        <w:trPr>
          <w:cantSplit/>
          <w:trHeight w:val="601"/>
        </w:trPr>
        <w:tc>
          <w:tcPr>
            <w:tcW w:w="739" w:type="dxa"/>
            <w:vMerge w:val="restart"/>
            <w:vAlign w:val="center"/>
          </w:tcPr>
          <w:p w14:paraId="36B3D44D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二、</w:t>
            </w:r>
          </w:p>
          <w:p w14:paraId="2BE464BE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核心过程</w:t>
            </w:r>
          </w:p>
          <w:p w14:paraId="73F98D89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50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47B7A9AB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</w:t>
            </w:r>
            <w:r>
              <w:rPr>
                <w:rFonts w:ascii="宋体" w:hint="eastAsia"/>
                <w:b/>
                <w:szCs w:val="21"/>
              </w:rPr>
              <w:t>．核心问题</w:t>
            </w:r>
          </w:p>
        </w:tc>
        <w:tc>
          <w:tcPr>
            <w:tcW w:w="4833" w:type="dxa"/>
            <w:gridSpan w:val="3"/>
            <w:vAlign w:val="center"/>
          </w:tcPr>
          <w:p w14:paraId="6BF4EA59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能及时将新资源转化为启发学生举一反三的教学核心问题。教学重心能够及时地再次下移，激发学生进行更为深入的与教学核心内容相关的多种形式的学习，捕捉、收集学生产生的新问题、方法等过程性资源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CF4162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/>
                <w:szCs w:val="21"/>
              </w:rPr>
              <w:t>10</w:t>
            </w:r>
          </w:p>
        </w:tc>
        <w:tc>
          <w:tcPr>
            <w:tcW w:w="718" w:type="dxa"/>
            <w:vAlign w:val="center"/>
          </w:tcPr>
          <w:p w14:paraId="030C198F" w14:textId="7A9F516B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</w:tr>
      <w:tr w:rsidR="00284C41" w14:paraId="49EA3EE3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7EC00367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74F77EE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3</w:t>
            </w:r>
            <w:r>
              <w:rPr>
                <w:rFonts w:ascii="宋体" w:hint="eastAsia"/>
                <w:b/>
                <w:szCs w:val="21"/>
              </w:rPr>
              <w:t>．生生互动</w:t>
            </w:r>
          </w:p>
        </w:tc>
        <w:tc>
          <w:tcPr>
            <w:tcW w:w="4833" w:type="dxa"/>
            <w:gridSpan w:val="3"/>
            <w:vAlign w:val="center"/>
          </w:tcPr>
          <w:p w14:paraId="2EB8BEDA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提供保证学生独立思考和合作学习的时间，生生互动建立在学生独立思考基础上，学生之间分工明确，相互倾听，相互补充和质疑，发生真正意义上的学习。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7E7F6D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718" w:type="dxa"/>
            <w:vAlign w:val="center"/>
          </w:tcPr>
          <w:p w14:paraId="0FEB1DFD" w14:textId="234D7341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</w:p>
        </w:tc>
      </w:tr>
      <w:tr w:rsidR="00284C41" w14:paraId="1C73343F" w14:textId="77777777">
        <w:trPr>
          <w:cantSplit/>
          <w:trHeight w:val="575"/>
        </w:trPr>
        <w:tc>
          <w:tcPr>
            <w:tcW w:w="739" w:type="dxa"/>
            <w:vMerge/>
            <w:vAlign w:val="center"/>
          </w:tcPr>
          <w:p w14:paraId="3A7B76D9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D8B460A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</w:t>
            </w:r>
            <w:r>
              <w:rPr>
                <w:rFonts w:ascii="宋体" w:hint="eastAsia"/>
                <w:b/>
                <w:szCs w:val="21"/>
              </w:rPr>
              <w:t>．教师理答</w:t>
            </w:r>
          </w:p>
        </w:tc>
        <w:tc>
          <w:tcPr>
            <w:tcW w:w="4833" w:type="dxa"/>
            <w:gridSpan w:val="3"/>
            <w:vAlign w:val="center"/>
          </w:tcPr>
          <w:p w14:paraId="530AB3FD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针对学生状态和问题进行调控、回应和组织补充性活动，将教学不断向实现教学目标的方向推进，及时完成教学活动的阶段性质转换，放与收合理、自如。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A7E041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</w:p>
        </w:tc>
        <w:tc>
          <w:tcPr>
            <w:tcW w:w="718" w:type="dxa"/>
            <w:vAlign w:val="center"/>
          </w:tcPr>
          <w:p w14:paraId="2F52F44F" w14:textId="5DA30F6F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18</w:t>
            </w:r>
          </w:p>
        </w:tc>
      </w:tr>
      <w:tr w:rsidR="00284C41" w14:paraId="3CDA065C" w14:textId="77777777">
        <w:trPr>
          <w:cantSplit/>
          <w:trHeight w:val="625"/>
        </w:trPr>
        <w:tc>
          <w:tcPr>
            <w:tcW w:w="739" w:type="dxa"/>
            <w:vMerge w:val="restart"/>
            <w:vAlign w:val="center"/>
          </w:tcPr>
          <w:p w14:paraId="0AA81B8C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三、</w:t>
            </w:r>
          </w:p>
          <w:p w14:paraId="6E358859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拓展</w:t>
            </w:r>
          </w:p>
          <w:p w14:paraId="16BCAAE8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延伸</w:t>
            </w:r>
          </w:p>
          <w:p w14:paraId="5EF54166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01DACBF6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5</w:t>
            </w:r>
            <w:r>
              <w:rPr>
                <w:rFonts w:ascii="宋体" w:hint="eastAsia"/>
                <w:b/>
                <w:szCs w:val="21"/>
              </w:rPr>
              <w:t>．总结提升</w:t>
            </w:r>
          </w:p>
        </w:tc>
        <w:tc>
          <w:tcPr>
            <w:tcW w:w="4833" w:type="dxa"/>
            <w:gridSpan w:val="3"/>
            <w:vAlign w:val="center"/>
          </w:tcPr>
          <w:p w14:paraId="41CF510B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对教学过程有重点和针对性的概括，突出本节课教学的新内容，注意提炼方法结构，能进行类比式、结构式延伸，能提出新问题，能对学习过程作评价，突出学习中学生表现的主动性、创造性和好的思维品质。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64E113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3E1B6AB9" w14:textId="7593A058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284C41" w14:paraId="1191B826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1332D862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20A3DCBA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6</w:t>
            </w:r>
            <w:r>
              <w:rPr>
                <w:rFonts w:ascii="宋体" w:hint="eastAsia"/>
                <w:b/>
                <w:szCs w:val="21"/>
              </w:rPr>
              <w:t>．作业创意</w:t>
            </w:r>
          </w:p>
        </w:tc>
        <w:tc>
          <w:tcPr>
            <w:tcW w:w="4833" w:type="dxa"/>
            <w:gridSpan w:val="3"/>
            <w:vAlign w:val="center"/>
          </w:tcPr>
          <w:p w14:paraId="49579D18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有贴切的不同方式的书面练习作业，作业设计注意开放性、探究性，明确作业要求，有组织交流或检查的安排。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326D2C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46930774" w14:textId="3B7B429C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</w:tr>
      <w:tr w:rsidR="00284C41" w14:paraId="3505F450" w14:textId="77777777">
        <w:trPr>
          <w:cantSplit/>
          <w:trHeight w:val="625"/>
        </w:trPr>
        <w:tc>
          <w:tcPr>
            <w:tcW w:w="739" w:type="dxa"/>
            <w:vMerge w:val="restart"/>
            <w:vAlign w:val="center"/>
          </w:tcPr>
          <w:p w14:paraId="1E523677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四、</w:t>
            </w:r>
          </w:p>
          <w:p w14:paraId="53003099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教师素养</w:t>
            </w:r>
          </w:p>
          <w:p w14:paraId="49552E5B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15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63E02B8E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7.</w:t>
            </w:r>
            <w:r>
              <w:rPr>
                <w:rFonts w:ascii="宋体" w:hint="eastAsia"/>
                <w:b/>
                <w:szCs w:val="21"/>
              </w:rPr>
              <w:t>板书设计</w:t>
            </w:r>
          </w:p>
        </w:tc>
        <w:tc>
          <w:tcPr>
            <w:tcW w:w="4833" w:type="dxa"/>
            <w:gridSpan w:val="3"/>
            <w:vAlign w:val="center"/>
          </w:tcPr>
          <w:p w14:paraId="29F3BFE7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板书工整规范，简明扼要，条例清晰。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715C82E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69AD3638" w14:textId="02B73138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284C41" w14:paraId="44D06A92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407A5F1A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19F5192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8.</w:t>
            </w:r>
            <w:r>
              <w:rPr>
                <w:rFonts w:ascii="宋体" w:hint="eastAsia"/>
                <w:b/>
                <w:szCs w:val="21"/>
              </w:rPr>
              <w:t>教学手段</w:t>
            </w:r>
          </w:p>
        </w:tc>
        <w:tc>
          <w:tcPr>
            <w:tcW w:w="4833" w:type="dxa"/>
            <w:gridSpan w:val="3"/>
            <w:vAlign w:val="center"/>
          </w:tcPr>
          <w:p w14:paraId="480921CF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熟练、合理运用现代化教育手段、教学设备进行教学、演示、讲解。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62DEE3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690D7863" w14:textId="48E7DCF4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284C41" w14:paraId="36980FA0" w14:textId="77777777">
        <w:trPr>
          <w:cantSplit/>
          <w:trHeight w:val="625"/>
        </w:trPr>
        <w:tc>
          <w:tcPr>
            <w:tcW w:w="739" w:type="dxa"/>
            <w:vMerge/>
            <w:vAlign w:val="center"/>
          </w:tcPr>
          <w:p w14:paraId="0A953F81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AB1F0E3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9.</w:t>
            </w:r>
            <w:r>
              <w:rPr>
                <w:rFonts w:ascii="宋体" w:hint="eastAsia"/>
                <w:b/>
                <w:szCs w:val="21"/>
              </w:rPr>
              <w:t>组织调控</w:t>
            </w:r>
          </w:p>
        </w:tc>
        <w:tc>
          <w:tcPr>
            <w:tcW w:w="4833" w:type="dxa"/>
            <w:gridSpan w:val="3"/>
            <w:vAlign w:val="center"/>
          </w:tcPr>
          <w:p w14:paraId="3772F0B5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语言规范、简洁、生动、准确，抑扬顿挫，富有教学魅力。</w:t>
            </w:r>
          </w:p>
          <w:p w14:paraId="4F892B17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组织、调控课堂能力强，肢体语言丰富、恰当，能有效营造有序、快乐的课堂。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46FB4D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18" w:type="dxa"/>
            <w:vAlign w:val="center"/>
          </w:tcPr>
          <w:p w14:paraId="2A23B308" w14:textId="02144B8C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</w:tr>
      <w:tr w:rsidR="00284C41" w14:paraId="49AF1ED1" w14:textId="77777777">
        <w:trPr>
          <w:cantSplit/>
          <w:trHeight w:val="470"/>
        </w:trPr>
        <w:tc>
          <w:tcPr>
            <w:tcW w:w="739" w:type="dxa"/>
            <w:vAlign w:val="center"/>
          </w:tcPr>
          <w:p w14:paraId="029C3F2D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五、</w:t>
            </w:r>
          </w:p>
          <w:p w14:paraId="3F3050DA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课堂文化</w:t>
            </w:r>
          </w:p>
          <w:p w14:paraId="3B9A9B2E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15</w:t>
            </w:r>
            <w:r>
              <w:rPr>
                <w:rFonts w:ascii="宋体" w:hint="eastAsia"/>
                <w:b/>
                <w:szCs w:val="21"/>
              </w:rPr>
              <w:t>分</w:t>
            </w:r>
          </w:p>
        </w:tc>
        <w:tc>
          <w:tcPr>
            <w:tcW w:w="1437" w:type="dxa"/>
            <w:vAlign w:val="center"/>
          </w:tcPr>
          <w:p w14:paraId="35401857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10.</w:t>
            </w:r>
            <w:r>
              <w:rPr>
                <w:rFonts w:ascii="宋体" w:hint="eastAsia"/>
                <w:b/>
                <w:szCs w:val="21"/>
              </w:rPr>
              <w:t>民主关爱</w:t>
            </w:r>
          </w:p>
        </w:tc>
        <w:tc>
          <w:tcPr>
            <w:tcW w:w="4833" w:type="dxa"/>
            <w:gridSpan w:val="3"/>
            <w:vAlign w:val="center"/>
          </w:tcPr>
          <w:p w14:paraId="76F29945" w14:textId="77777777" w:rsidR="007A591D" w:rsidRDefault="007078A0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教师尊重每一个孩子，关注每一个孩子，激励每一个孩子，营造平等、融洽、安全、愉悦的氛围，师生互动自然、智慧碰撞、生命涌动、共享成长。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EED9D6" w14:textId="77777777" w:rsidR="007A591D" w:rsidRDefault="007078A0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</w:t>
            </w:r>
          </w:p>
        </w:tc>
        <w:tc>
          <w:tcPr>
            <w:tcW w:w="718" w:type="dxa"/>
            <w:vAlign w:val="center"/>
          </w:tcPr>
          <w:p w14:paraId="0D27C4A1" w14:textId="07B456B7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/>
                <w:szCs w:val="21"/>
              </w:rPr>
              <w:t>5</w:t>
            </w:r>
          </w:p>
        </w:tc>
      </w:tr>
      <w:tr w:rsidR="007A591D" w14:paraId="3C6EC7E5" w14:textId="77777777">
        <w:trPr>
          <w:cantSplit/>
          <w:trHeight w:val="178"/>
        </w:trPr>
        <w:tc>
          <w:tcPr>
            <w:tcW w:w="739" w:type="dxa"/>
            <w:vMerge w:val="restart"/>
            <w:vAlign w:val="center"/>
          </w:tcPr>
          <w:p w14:paraId="5E3E18F5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总体评价</w:t>
            </w:r>
          </w:p>
        </w:tc>
        <w:tc>
          <w:tcPr>
            <w:tcW w:w="6270" w:type="dxa"/>
            <w:gridSpan w:val="4"/>
            <w:vMerge w:val="restart"/>
            <w:vAlign w:val="center"/>
          </w:tcPr>
          <w:p w14:paraId="0F505177" w14:textId="3835A8D3" w:rsidR="007A591D" w:rsidRDefault="007F4B9E">
            <w:pPr>
              <w:spacing w:line="28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教师能在学生已经</w:t>
            </w:r>
            <w:r>
              <w:rPr>
                <w:rFonts w:ascii="宋体" w:hAnsi="宋体" w:hint="eastAsia"/>
                <w:sz w:val="24"/>
              </w:rPr>
              <w:t>掌握了函数的概念</w:t>
            </w:r>
            <w:r>
              <w:rPr>
                <w:rFonts w:ascii="宋体" w:hAnsi="宋体" w:hint="eastAsia"/>
                <w:sz w:val="24"/>
              </w:rPr>
              <w:t>的基础上展开对函数表示方法的讨论和研究，课堂灵活运用白板和板书展示课堂教学重难点，充分调动学生积极性。但是在课堂中还可以适当增加小组讨论，小组合作的形式，丰富课堂教学形式。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751E945" w14:textId="77777777" w:rsidR="007A591D" w:rsidRDefault="007078A0">
            <w:pPr>
              <w:spacing w:line="280" w:lineRule="atLeast"/>
              <w:ind w:firstLineChars="200" w:firstLine="422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总得分</w:t>
            </w:r>
          </w:p>
        </w:tc>
      </w:tr>
      <w:tr w:rsidR="007A591D" w14:paraId="2864029B" w14:textId="77777777">
        <w:trPr>
          <w:cantSplit/>
          <w:trHeight w:val="423"/>
        </w:trPr>
        <w:tc>
          <w:tcPr>
            <w:tcW w:w="739" w:type="dxa"/>
            <w:vMerge/>
            <w:vAlign w:val="center"/>
          </w:tcPr>
          <w:p w14:paraId="00F76F24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2F6F6E7A" w14:textId="77777777" w:rsidR="007A591D" w:rsidRDefault="007A591D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0EE1337" w14:textId="76C1A822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  <w:r>
              <w:rPr>
                <w:rFonts w:ascii="宋体"/>
                <w:szCs w:val="21"/>
              </w:rPr>
              <w:t>3</w:t>
            </w:r>
          </w:p>
        </w:tc>
      </w:tr>
      <w:tr w:rsidR="007A591D" w14:paraId="55D22A2D" w14:textId="77777777">
        <w:trPr>
          <w:cantSplit/>
          <w:trHeight w:val="444"/>
        </w:trPr>
        <w:tc>
          <w:tcPr>
            <w:tcW w:w="739" w:type="dxa"/>
            <w:vMerge/>
            <w:vAlign w:val="center"/>
          </w:tcPr>
          <w:p w14:paraId="1FC4B965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59091D4C" w14:textId="77777777" w:rsidR="007A591D" w:rsidRDefault="007A591D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DB5E2FF" w14:textId="77777777" w:rsidR="007A591D" w:rsidRDefault="007078A0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评价人</w:t>
            </w:r>
          </w:p>
        </w:tc>
      </w:tr>
      <w:tr w:rsidR="007A591D" w14:paraId="21BF94B2" w14:textId="77777777">
        <w:trPr>
          <w:cantSplit/>
          <w:trHeight w:val="699"/>
        </w:trPr>
        <w:tc>
          <w:tcPr>
            <w:tcW w:w="739" w:type="dxa"/>
            <w:vMerge/>
            <w:vAlign w:val="center"/>
          </w:tcPr>
          <w:p w14:paraId="7AA8DC82" w14:textId="77777777" w:rsidR="007A591D" w:rsidRDefault="007A591D">
            <w:pPr>
              <w:spacing w:line="28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270" w:type="dxa"/>
            <w:gridSpan w:val="4"/>
            <w:vMerge/>
            <w:vAlign w:val="center"/>
          </w:tcPr>
          <w:p w14:paraId="3B20511A" w14:textId="77777777" w:rsidR="007A591D" w:rsidRDefault="007A591D">
            <w:pPr>
              <w:spacing w:line="28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1D41F3F" w14:textId="6D803074" w:rsidR="007A591D" w:rsidRDefault="00284C41">
            <w:pPr>
              <w:spacing w:line="2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梅凤</w:t>
            </w:r>
          </w:p>
        </w:tc>
      </w:tr>
    </w:tbl>
    <w:p w14:paraId="4DB83E37" w14:textId="77777777" w:rsidR="007A591D" w:rsidRDefault="007A591D">
      <w:pPr>
        <w:spacing w:line="280" w:lineRule="atLeast"/>
      </w:pPr>
    </w:p>
    <w:p w14:paraId="30379DBF" w14:textId="77777777" w:rsidR="007A591D" w:rsidRDefault="007A591D">
      <w:pPr>
        <w:spacing w:line="460" w:lineRule="exact"/>
        <w:rPr>
          <w:sz w:val="24"/>
        </w:rPr>
      </w:pPr>
    </w:p>
    <w:sectPr w:rsidR="007A59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341E" w14:textId="77777777" w:rsidR="007078A0" w:rsidRDefault="007078A0">
      <w:r>
        <w:separator/>
      </w:r>
    </w:p>
  </w:endnote>
  <w:endnote w:type="continuationSeparator" w:id="0">
    <w:p w14:paraId="54A24A66" w14:textId="77777777" w:rsidR="007078A0" w:rsidRDefault="0070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328450"/>
    </w:sdtPr>
    <w:sdtEndPr/>
    <w:sdtContent>
      <w:p w14:paraId="02A8279D" w14:textId="77777777" w:rsidR="007A591D" w:rsidRDefault="007078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 w14:paraId="08046CDC" w14:textId="77777777" w:rsidR="007A591D" w:rsidRDefault="007A59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1DAE" w14:textId="77777777" w:rsidR="007078A0" w:rsidRDefault="007078A0">
      <w:r>
        <w:separator/>
      </w:r>
    </w:p>
  </w:footnote>
  <w:footnote w:type="continuationSeparator" w:id="0">
    <w:p w14:paraId="2340BE85" w14:textId="77777777" w:rsidR="007078A0" w:rsidRDefault="0070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4"/>
    <w:rsid w:val="000104D7"/>
    <w:rsid w:val="00022177"/>
    <w:rsid w:val="000371D9"/>
    <w:rsid w:val="00043B76"/>
    <w:rsid w:val="00057ED2"/>
    <w:rsid w:val="00071DB1"/>
    <w:rsid w:val="000D1C86"/>
    <w:rsid w:val="00102A5F"/>
    <w:rsid w:val="00117C33"/>
    <w:rsid w:val="00117F48"/>
    <w:rsid w:val="00184FCE"/>
    <w:rsid w:val="001875BE"/>
    <w:rsid w:val="001B7184"/>
    <w:rsid w:val="001D26AA"/>
    <w:rsid w:val="001D3896"/>
    <w:rsid w:val="001E1988"/>
    <w:rsid w:val="001F0C1E"/>
    <w:rsid w:val="001F0E95"/>
    <w:rsid w:val="001F45E8"/>
    <w:rsid w:val="00242496"/>
    <w:rsid w:val="00284C41"/>
    <w:rsid w:val="002C1DF4"/>
    <w:rsid w:val="002C281F"/>
    <w:rsid w:val="002C3B0B"/>
    <w:rsid w:val="002D0603"/>
    <w:rsid w:val="002D0CFE"/>
    <w:rsid w:val="002D17F9"/>
    <w:rsid w:val="002F3801"/>
    <w:rsid w:val="002F6CAA"/>
    <w:rsid w:val="00316293"/>
    <w:rsid w:val="00324066"/>
    <w:rsid w:val="00347A23"/>
    <w:rsid w:val="00355FC9"/>
    <w:rsid w:val="00382816"/>
    <w:rsid w:val="003868CF"/>
    <w:rsid w:val="00386F35"/>
    <w:rsid w:val="00387CB4"/>
    <w:rsid w:val="00397FC3"/>
    <w:rsid w:val="003B61E0"/>
    <w:rsid w:val="003C0940"/>
    <w:rsid w:val="003C5B3C"/>
    <w:rsid w:val="003E2D66"/>
    <w:rsid w:val="003E535F"/>
    <w:rsid w:val="003F0C87"/>
    <w:rsid w:val="00401510"/>
    <w:rsid w:val="00435403"/>
    <w:rsid w:val="004B0B7A"/>
    <w:rsid w:val="00506DE9"/>
    <w:rsid w:val="00513DC9"/>
    <w:rsid w:val="00520181"/>
    <w:rsid w:val="005571B2"/>
    <w:rsid w:val="005606F9"/>
    <w:rsid w:val="0058300D"/>
    <w:rsid w:val="0059320A"/>
    <w:rsid w:val="005952B1"/>
    <w:rsid w:val="005E0E0D"/>
    <w:rsid w:val="00617616"/>
    <w:rsid w:val="00620DC3"/>
    <w:rsid w:val="0063072D"/>
    <w:rsid w:val="00643169"/>
    <w:rsid w:val="006751C0"/>
    <w:rsid w:val="006765DF"/>
    <w:rsid w:val="006805EB"/>
    <w:rsid w:val="00682D78"/>
    <w:rsid w:val="00690A4E"/>
    <w:rsid w:val="00697EDC"/>
    <w:rsid w:val="00697F80"/>
    <w:rsid w:val="006A28B5"/>
    <w:rsid w:val="006D12D4"/>
    <w:rsid w:val="006E121D"/>
    <w:rsid w:val="007078A0"/>
    <w:rsid w:val="00751697"/>
    <w:rsid w:val="00772722"/>
    <w:rsid w:val="00776AA7"/>
    <w:rsid w:val="00782694"/>
    <w:rsid w:val="00782CAF"/>
    <w:rsid w:val="007A591D"/>
    <w:rsid w:val="007B255B"/>
    <w:rsid w:val="007D404A"/>
    <w:rsid w:val="007D46DA"/>
    <w:rsid w:val="007E4252"/>
    <w:rsid w:val="007E43BC"/>
    <w:rsid w:val="007F4B9E"/>
    <w:rsid w:val="00803146"/>
    <w:rsid w:val="008466D3"/>
    <w:rsid w:val="00856021"/>
    <w:rsid w:val="00860E50"/>
    <w:rsid w:val="00867148"/>
    <w:rsid w:val="00867514"/>
    <w:rsid w:val="00872371"/>
    <w:rsid w:val="008A175A"/>
    <w:rsid w:val="008B49D2"/>
    <w:rsid w:val="008D07BA"/>
    <w:rsid w:val="008E09A4"/>
    <w:rsid w:val="008F1111"/>
    <w:rsid w:val="00902FA5"/>
    <w:rsid w:val="009332E2"/>
    <w:rsid w:val="00934CCD"/>
    <w:rsid w:val="009632B6"/>
    <w:rsid w:val="00980FDE"/>
    <w:rsid w:val="009A0E27"/>
    <w:rsid w:val="009F19D5"/>
    <w:rsid w:val="009F7EB4"/>
    <w:rsid w:val="00A31638"/>
    <w:rsid w:val="00A33769"/>
    <w:rsid w:val="00A40A38"/>
    <w:rsid w:val="00A4405D"/>
    <w:rsid w:val="00A53774"/>
    <w:rsid w:val="00A61D9C"/>
    <w:rsid w:val="00A74F47"/>
    <w:rsid w:val="00A84C7E"/>
    <w:rsid w:val="00A92368"/>
    <w:rsid w:val="00AA76B5"/>
    <w:rsid w:val="00AC3AFA"/>
    <w:rsid w:val="00AC3F9F"/>
    <w:rsid w:val="00AF18BE"/>
    <w:rsid w:val="00B10E88"/>
    <w:rsid w:val="00B321D4"/>
    <w:rsid w:val="00B714D2"/>
    <w:rsid w:val="00BA04F9"/>
    <w:rsid w:val="00BA3A4E"/>
    <w:rsid w:val="00BA458D"/>
    <w:rsid w:val="00BB0429"/>
    <w:rsid w:val="00BB0A82"/>
    <w:rsid w:val="00BB2634"/>
    <w:rsid w:val="00BC02EE"/>
    <w:rsid w:val="00BD5450"/>
    <w:rsid w:val="00BE6B1B"/>
    <w:rsid w:val="00BF1939"/>
    <w:rsid w:val="00C04FAD"/>
    <w:rsid w:val="00C1540F"/>
    <w:rsid w:val="00C46DDF"/>
    <w:rsid w:val="00C63126"/>
    <w:rsid w:val="00C638E1"/>
    <w:rsid w:val="00C72F0D"/>
    <w:rsid w:val="00C8200E"/>
    <w:rsid w:val="00C9146B"/>
    <w:rsid w:val="00C91C5B"/>
    <w:rsid w:val="00C9354F"/>
    <w:rsid w:val="00C940D4"/>
    <w:rsid w:val="00C947FC"/>
    <w:rsid w:val="00CB07D9"/>
    <w:rsid w:val="00CB77A0"/>
    <w:rsid w:val="00CE0D72"/>
    <w:rsid w:val="00CE5877"/>
    <w:rsid w:val="00D03289"/>
    <w:rsid w:val="00D13CD5"/>
    <w:rsid w:val="00D16688"/>
    <w:rsid w:val="00D579B6"/>
    <w:rsid w:val="00D66D56"/>
    <w:rsid w:val="00D87AED"/>
    <w:rsid w:val="00DC487C"/>
    <w:rsid w:val="00DD290E"/>
    <w:rsid w:val="00E04737"/>
    <w:rsid w:val="00E07993"/>
    <w:rsid w:val="00E10A59"/>
    <w:rsid w:val="00E50C9A"/>
    <w:rsid w:val="00E6090D"/>
    <w:rsid w:val="00EA411E"/>
    <w:rsid w:val="00EE5657"/>
    <w:rsid w:val="00F13038"/>
    <w:rsid w:val="00F16A82"/>
    <w:rsid w:val="00F40E4F"/>
    <w:rsid w:val="00F47C55"/>
    <w:rsid w:val="00F61429"/>
    <w:rsid w:val="00F67427"/>
    <w:rsid w:val="00F75E1B"/>
    <w:rsid w:val="00F855B2"/>
    <w:rsid w:val="00F95C99"/>
    <w:rsid w:val="00FA6FF7"/>
    <w:rsid w:val="00FA7E68"/>
    <w:rsid w:val="00FD08F5"/>
    <w:rsid w:val="62382F98"/>
    <w:rsid w:val="7C4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DE0F3"/>
  <w15:docId w15:val="{90947ED9-8F19-43F6-B386-357B55F3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7936C-9224-4A9B-9571-5F327406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798296649@qq.com</cp:lastModifiedBy>
  <cp:revision>13</cp:revision>
  <cp:lastPrinted>2019-10-17T00:16:00Z</cp:lastPrinted>
  <dcterms:created xsi:type="dcterms:W3CDTF">2019-10-16T11:52:00Z</dcterms:created>
  <dcterms:modified xsi:type="dcterms:W3CDTF">2021-04-28T05:33:00Z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