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常州市东青实验学校教学设计方案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80"/>
        <w:gridCol w:w="1080"/>
        <w:gridCol w:w="298"/>
        <w:gridCol w:w="422"/>
        <w:gridCol w:w="1140"/>
        <w:gridCol w:w="930"/>
        <w:gridCol w:w="69"/>
        <w:gridCol w:w="1131"/>
        <w:gridCol w:w="855"/>
        <w:gridCol w:w="420"/>
        <w:gridCol w:w="465"/>
        <w:gridCol w:w="750"/>
        <w:gridCol w:w="12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2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学科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八2班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1200" w:type="dxa"/>
            <w:gridSpan w:val="2"/>
            <w:noWrap w:val="0"/>
            <w:vAlign w:val="top"/>
          </w:tcPr>
          <w:p>
            <w:pPr>
              <w:spacing w:line="360" w:lineRule="auto"/>
              <w:ind w:firstLine="210" w:firstLineChars="1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42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执教者</w:t>
            </w:r>
          </w:p>
        </w:tc>
        <w:tc>
          <w:tcPr>
            <w:tcW w:w="88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陈雅丽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272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10.21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2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课题</w:t>
            </w:r>
          </w:p>
        </w:tc>
        <w:tc>
          <w:tcPr>
            <w:tcW w:w="2940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8A Unit3 Grammar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课型</w:t>
            </w:r>
          </w:p>
        </w:tc>
        <w:tc>
          <w:tcPr>
            <w:tcW w:w="1200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新授课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主备人</w:t>
            </w:r>
          </w:p>
        </w:tc>
        <w:tc>
          <w:tcPr>
            <w:tcW w:w="885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陈雅丽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课时</w:t>
            </w:r>
          </w:p>
        </w:tc>
        <w:tc>
          <w:tcPr>
            <w:tcW w:w="127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9657" w:type="dxa"/>
            <w:gridSpan w:val="14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教学目标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 xml:space="preserve">To compare two people/ things using </w:t>
            </w:r>
            <w:r>
              <w:rPr>
                <w:sz w:val="24"/>
                <w:szCs w:val="24"/>
              </w:rPr>
              <w:t>“</w:t>
            </w:r>
            <w:r>
              <w:rPr>
                <w:rFonts w:hint="eastAsia"/>
                <w:sz w:val="24"/>
                <w:szCs w:val="24"/>
              </w:rPr>
              <w:t>(not) as</w:t>
            </w:r>
            <w:r>
              <w:rPr>
                <w:sz w:val="24"/>
                <w:szCs w:val="24"/>
              </w:rPr>
              <w:t xml:space="preserve">” </w:t>
            </w:r>
            <w:r>
              <w:rPr>
                <w:rFonts w:hint="eastAsia"/>
                <w:sz w:val="24"/>
                <w:szCs w:val="24"/>
              </w:rPr>
              <w:t xml:space="preserve">+ adjective+ </w:t>
            </w:r>
            <w:r>
              <w:rPr>
                <w:sz w:val="24"/>
                <w:szCs w:val="24"/>
              </w:rPr>
              <w:t>“</w:t>
            </w:r>
            <w:r>
              <w:rPr>
                <w:rFonts w:hint="eastAsia"/>
                <w:sz w:val="24"/>
                <w:szCs w:val="24"/>
              </w:rPr>
              <w:t>as</w:t>
            </w:r>
            <w:r>
              <w:rPr>
                <w:sz w:val="24"/>
                <w:szCs w:val="24"/>
              </w:rPr>
              <w:t xml:space="preserve">”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and t</w:t>
            </w:r>
            <w:r>
              <w:rPr>
                <w:rFonts w:hint="eastAsia"/>
                <w:sz w:val="24"/>
                <w:szCs w:val="24"/>
              </w:rPr>
              <w:t>o learn reflexive pronouns</w:t>
            </w:r>
          </w:p>
          <w:p>
            <w:pPr>
              <w:spacing w:line="360" w:lineRule="auto"/>
              <w:ind w:left="1181" w:hanging="1180" w:hangingChars="49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se “as…as” to make sentences and use reflexive pronouns to talk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about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a day out</w:t>
            </w:r>
            <w:r>
              <w:rPr>
                <w:sz w:val="24"/>
                <w:szCs w:val="24"/>
              </w:rPr>
              <w:t>.</w:t>
            </w:r>
          </w:p>
          <w:p>
            <w:pPr>
              <w:spacing w:line="360" w:lineRule="auto"/>
              <w:ind w:left="1181" w:hanging="1180" w:hangingChars="49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et to know some differences between each other and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enjoy life</w:t>
            </w:r>
            <w:r>
              <w:rPr>
                <w:sz w:val="24"/>
                <w:szCs w:val="24"/>
              </w:rPr>
              <w:t>.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9657" w:type="dxa"/>
            <w:gridSpan w:val="14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二、教学重难点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sz w:val="24"/>
              </w:rPr>
              <w:t xml:space="preserve">The exchanges between “not so/as …as” and reflexive pronouns 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sz w:val="24"/>
              </w:rPr>
              <w:t>The special uses of reflexive pronouns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9657" w:type="dxa"/>
            <w:gridSpan w:val="14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三、制定依据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（教材及学生分析）</w:t>
            </w:r>
          </w:p>
          <w:p>
            <w:pPr>
              <w:widowControl/>
              <w:ind w:firstLine="480" w:firstLineChars="200"/>
              <w:jc w:val="left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The topic of this unit is “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A day out</w:t>
            </w:r>
            <w:r>
              <w:rPr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and students know something about places of interest from all over the world .But they have difficulty in talking about them in English.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This lesson aims to teach students to compare two people/things using (not)as +adjective+as and reflexive pronouns.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9657" w:type="dxa"/>
            <w:gridSpan w:val="14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四、教学准备 </w:t>
            </w:r>
          </w:p>
          <w:p>
            <w:pPr>
              <w:spacing w:line="360" w:lineRule="auto"/>
              <w:rPr>
                <w:rFonts w:hint="default" w:ascii="宋体" w:hAnsi="宋体"/>
                <w:b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Shangxue </w:t>
            </w:r>
            <w:r>
              <w:rPr>
                <w:rFonts w:hint="default" w:ascii="宋体" w:hAnsi="宋体"/>
                <w:b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App and tablet computers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657" w:type="dxa"/>
            <w:gridSpan w:val="14"/>
            <w:noWrap w:val="0"/>
            <w:vAlign w:val="top"/>
          </w:tcPr>
          <w:p>
            <w:pPr>
              <w:spacing w:line="360" w:lineRule="auto"/>
              <w:ind w:firstLine="422" w:firstLineChars="2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学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过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20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教学环节</w:t>
            </w:r>
          </w:p>
        </w:tc>
        <w:tc>
          <w:tcPr>
            <w:tcW w:w="2561" w:type="dxa"/>
            <w:gridSpan w:val="4"/>
            <w:noWrap w:val="0"/>
            <w:vAlign w:val="center"/>
          </w:tcPr>
          <w:p>
            <w:pPr>
              <w:spacing w:line="360" w:lineRule="auto"/>
              <w:ind w:firstLine="732" w:firstLineChars="347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教师活动</w:t>
            </w:r>
          </w:p>
        </w:tc>
        <w:tc>
          <w:tcPr>
            <w:tcW w:w="2406" w:type="dxa"/>
            <w:gridSpan w:val="3"/>
            <w:noWrap w:val="0"/>
            <w:vAlign w:val="center"/>
          </w:tcPr>
          <w:p>
            <w:pPr>
              <w:spacing w:line="360" w:lineRule="auto"/>
              <w:ind w:firstLine="826" w:firstLineChars="392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学生活动</w:t>
            </w:r>
          </w:p>
        </w:tc>
        <w:tc>
          <w:tcPr>
            <w:tcW w:w="2487" w:type="dxa"/>
            <w:gridSpan w:val="3"/>
            <w:noWrap w:val="0"/>
            <w:vAlign w:val="center"/>
          </w:tcPr>
          <w:p>
            <w:pPr>
              <w:spacing w:line="360" w:lineRule="auto"/>
              <w:ind w:firstLine="628" w:firstLineChars="298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设计意图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03" w:type="dxa"/>
            <w:gridSpan w:val="4"/>
            <w:noWrap w:val="0"/>
            <w:vAlign w:val="center"/>
          </w:tcPr>
          <w:p>
            <w:pPr>
              <w:spacing w:line="240" w:lineRule="exact"/>
              <w:ind w:left="241" w:hanging="241" w:hangingChars="100"/>
              <w:rPr>
                <w:rFonts w:hint="eastAsia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b/>
                <w:color w:val="000000"/>
                <w:sz w:val="24"/>
              </w:rPr>
              <w:t>Step1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:</w:t>
            </w:r>
          </w:p>
          <w:p>
            <w:pPr>
              <w:spacing w:line="240" w:lineRule="exac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Lead-in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i/>
                <w:iCs/>
                <w:szCs w:val="21"/>
              </w:rPr>
            </w:pPr>
          </w:p>
        </w:tc>
        <w:tc>
          <w:tcPr>
            <w:tcW w:w="2561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Show a video about a day in Changzhou and ask: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If you have a day off, where will you go?</w:t>
            </w:r>
          </w:p>
        </w:tc>
        <w:tc>
          <w:tcPr>
            <w:tcW w:w="2406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Enjoy the video and answer the question.</w:t>
            </w:r>
          </w:p>
        </w:tc>
        <w:tc>
          <w:tcPr>
            <w:tcW w:w="2487" w:type="dxa"/>
            <w:gridSpan w:val="3"/>
            <w:noWrap w:val="0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Attract their interests.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5" w:type="dxa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核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推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进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过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程</w:t>
            </w: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Step2:Presentation</w:t>
            </w:r>
          </w:p>
          <w:p>
            <w:pPr>
              <w:spacing w:line="360" w:lineRule="exact"/>
              <w:jc w:val="left"/>
              <w:rPr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Step3:practice</w:t>
            </w:r>
          </w:p>
          <w:p>
            <w:pPr>
              <w:spacing w:line="360" w:lineRule="exact"/>
              <w:jc w:val="left"/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Step4:conclusion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Step5: exercise</w:t>
            </w:r>
          </w:p>
          <w:p>
            <w:pPr>
              <w:spacing w:line="36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2561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新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Q:What do you think of China Dinosaur Park? (interesting)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eastAsia="新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I went to the Yancheng Wildlife Park with my son during the National Day. I think it is also very interesting .</w:t>
            </w:r>
          </w:p>
          <w:p>
            <w:pPr>
              <w:widowControl/>
              <w:jc w:val="left"/>
              <w:rPr>
                <w:rFonts w:hint="default" w:ascii="Times New Roman" w:hAnsi="Times New Roman" w:eastAsia="新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The two places are interesting so we can also say “China </w:t>
            </w:r>
            <w:r>
              <w:rPr>
                <w:rFonts w:hint="eastAsia" w:eastAsia="新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Dinosaur</w:t>
            </w: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Park is as interesting as Yancheng Wildlife Park.”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eastAsia="新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eastAsia="新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Show more examples: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Times New Roman" w:hAnsi="Times New Roman" w:eastAsia="新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Yancheng  Ruins Park is as beautiful as Yancheng Wildlife Park.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Times New Roman" w:hAnsi="Times New Roman" w:eastAsia="新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Yancheng Ruins park is not as big as Yancheng Wildlife Park.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Times New Roman" w:hAnsi="Times New Roman" w:eastAsia="新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Yancheng Ruins Park is smaller than Yancheng Wildlife PARK.</w:t>
            </w:r>
          </w:p>
          <w:p>
            <w:pPr>
              <w:bidi w:val="0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新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Talk about animals with (not) as/so...as&amp; comparative ad</w:t>
            </w:r>
            <w:r>
              <w:rPr>
                <w:rFonts w:hint="eastAsia" w:eastAsia="新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j</w:t>
            </w: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ective:</w:t>
            </w:r>
          </w:p>
          <w:p>
            <w:pPr>
              <w:widowControl/>
              <w:jc w:val="left"/>
              <w:rPr>
                <w:rFonts w:hint="default" w:ascii="Times New Roman" w:hAnsi="Times New Roman" w:eastAsia="新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hint="default" w:ascii="Times New Roman" w:hAnsi="Times New Roman" w:eastAsia="新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新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新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新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Guide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students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to make a summa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y of “as ...as”</w:t>
            </w:r>
          </w:p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let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students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finish the exercise on the tablet computer</w:t>
            </w:r>
          </w:p>
          <w:p>
            <w:pPr>
              <w:numPr>
                <w:ilvl w:val="0"/>
                <w:numId w:val="3"/>
              </w:num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Receive the screen capture image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s</w:t>
            </w:r>
          </w:p>
          <w:p>
            <w:pPr>
              <w:numPr>
                <w:ilvl w:val="0"/>
                <w:numId w:val="3"/>
              </w:num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Explain some language points</w:t>
            </w:r>
          </w:p>
        </w:tc>
        <w:tc>
          <w:tcPr>
            <w:tcW w:w="2406" w:type="dxa"/>
            <w:gridSpan w:val="3"/>
            <w:noWrap w:val="0"/>
            <w:vAlign w:val="top"/>
          </w:tcPr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Answer the questions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Fill in the blanks: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The elephant is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>bigger than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the horse.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The horse is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not as/so big as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the elephant.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The horse runs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>faster than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the rabbit.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The rabbit does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not run as fast as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the horse.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make a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summary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of “as ...as” with the help of the sentences we have learn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ed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today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5"/>
              </w:numPr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Finish the exercise</w:t>
            </w:r>
          </w:p>
          <w:p>
            <w:pPr>
              <w:widowControl/>
              <w:numPr>
                <w:ilvl w:val="0"/>
                <w:numId w:val="5"/>
              </w:numPr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After finishing, cut the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screen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and send  it to the teacher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Introduce the topic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Know the use of “as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...as” and “not as/so ...as”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新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Consolidate the usage of “</w:t>
            </w: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(not) as/so...as&amp; comparative ad</w:t>
            </w:r>
            <w:r>
              <w:rPr>
                <w:rFonts w:hint="eastAsia" w:eastAsia="新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je</w:t>
            </w: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ctive”</w:t>
            </w:r>
          </w:p>
          <w:p>
            <w:pPr>
              <w:widowControl/>
              <w:jc w:val="left"/>
              <w:rPr>
                <w:rFonts w:hint="default" w:ascii="Times New Roman" w:hAnsi="Times New Roman" w:eastAsia="新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make a summary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Check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Step:6</w:t>
            </w:r>
          </w:p>
          <w:p>
            <w:pPr>
              <w:spacing w:line="36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presentation</w:t>
            </w:r>
          </w:p>
        </w:tc>
        <w:tc>
          <w:tcPr>
            <w:tcW w:w="2561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1.Show some pictures and present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hrases:enjoy oneself/help oneself to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pull oneself up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2.introduce the definition of reflective pronouns</w:t>
            </w:r>
          </w:p>
          <w:p>
            <w:pPr>
              <w:numPr>
                <w:ilvl w:val="0"/>
                <w:numId w:val="6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Present the form of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reflective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pronouns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06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Talk about the pictures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Revise the reflective pronouns they have learn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ed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before the class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87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Introduce reflective pronouns and let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students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know what reflective pronouns are.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1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Step7:practice</w:t>
            </w:r>
          </w:p>
        </w:tc>
        <w:tc>
          <w:tcPr>
            <w:tcW w:w="2561" w:type="dxa"/>
            <w:gridSpan w:val="4"/>
            <w:noWrap w:val="0"/>
            <w:vAlign w:val="top"/>
          </w:tcPr>
          <w:p>
            <w:pPr>
              <w:numPr>
                <w:ilvl w:val="0"/>
                <w:numId w:val="7"/>
              </w:num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Mach the refle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tive pronouns and the Chinese meanings</w:t>
            </w:r>
          </w:p>
          <w:p>
            <w:pPr>
              <w:numPr>
                <w:ilvl w:val="0"/>
                <w:numId w:val="7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pick up the right oranges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Eg: my father himself(tick it out)</w:t>
            </w:r>
          </w:p>
          <w:p>
            <w:pPr>
              <w:numPr>
                <w:ilvl w:val="0"/>
                <w:numId w:val="7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Find out the meanings of  some special expressions of “oneself” with the help of the dictionary</w:t>
            </w:r>
          </w:p>
          <w:p>
            <w:pPr>
              <w:numPr>
                <w:ilvl w:val="0"/>
                <w:numId w:val="7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Translation</w:t>
            </w:r>
          </w:p>
        </w:tc>
        <w:tc>
          <w:tcPr>
            <w:tcW w:w="2406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8"/>
              </w:num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match and cut the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screen</w:t>
            </w:r>
          </w:p>
          <w:p>
            <w:pPr>
              <w:widowControl w:val="0"/>
              <w:numPr>
                <w:ilvl w:val="0"/>
                <w:numId w:val="8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pick up the right oranges</w:t>
            </w:r>
          </w:p>
          <w:p>
            <w:pPr>
              <w:widowControl w:val="0"/>
              <w:numPr>
                <w:ilvl w:val="0"/>
                <w:numId w:val="8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Look up something in the dictionary</w:t>
            </w:r>
          </w:p>
          <w:p>
            <w:pPr>
              <w:widowControl w:val="0"/>
              <w:numPr>
                <w:ilvl w:val="0"/>
                <w:numId w:val="8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Translate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Consolidate the usage of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reflection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pronouns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45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开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式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延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伸</w:t>
            </w: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240" w:lineRule="exact"/>
              <w:ind w:firstLine="117" w:firstLineChars="49"/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Step8:group work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561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Guide students to talk about their day out in Changzhou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06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Talk about a day out in Changzhou </w:t>
            </w:r>
          </w:p>
          <w:p>
            <w:pPr>
              <w:widowControl/>
              <w:jc w:val="left"/>
              <w:rPr>
                <w:rFonts w:hint="default" w:ascii="Times New Roman" w:hAnsi="Times New Roman" w:eastAsia="新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87" w:type="dxa"/>
            <w:gridSpan w:val="3"/>
            <w:noWrap w:val="0"/>
            <w:vAlign w:val="top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新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Put what we have learn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ed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into practice.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rFonts w:hint="eastAsia"/>
      </w:rPr>
      <w:t>常州市东青实验学校课堂教学设计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8995C4"/>
    <w:multiLevelType w:val="singleLevel"/>
    <w:tmpl w:val="C58995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6799CA1"/>
    <w:multiLevelType w:val="singleLevel"/>
    <w:tmpl w:val="D6799C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ED628F4"/>
    <w:multiLevelType w:val="singleLevel"/>
    <w:tmpl w:val="EED628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E085AF2"/>
    <w:multiLevelType w:val="singleLevel"/>
    <w:tmpl w:val="FE085A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FA4BBC3"/>
    <w:multiLevelType w:val="singleLevel"/>
    <w:tmpl w:val="0FA4BB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09EBBB5"/>
    <w:multiLevelType w:val="singleLevel"/>
    <w:tmpl w:val="709EBB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D51B915"/>
    <w:multiLevelType w:val="singleLevel"/>
    <w:tmpl w:val="7D51B9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E9D2408"/>
    <w:multiLevelType w:val="singleLevel"/>
    <w:tmpl w:val="7E9D24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A2122"/>
    <w:rsid w:val="1FF55F3B"/>
    <w:rsid w:val="24CE78D2"/>
    <w:rsid w:val="27081972"/>
    <w:rsid w:val="289376F8"/>
    <w:rsid w:val="2A905E66"/>
    <w:rsid w:val="3BAA2122"/>
    <w:rsid w:val="412E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b/>
      <w:bCs/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2020-10-23T14:00:00Z</dcterms:created>
  <dc:creator>Jessica</dc:creator>
  <cp:lastModifiedBy>Jessica</cp:lastModifiedBy>
  <dcterms:modified xsi:type="dcterms:W3CDTF">2020-10-24T00:54:39Z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