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常州市教育信息化建设项目展评报名表</w:t>
      </w:r>
    </w:p>
    <w:tbl>
      <w:tblPr>
        <w:tblStyle w:val="3"/>
        <w:tblpPr w:leftFromText="180" w:rightFromText="180" w:vertAnchor="text" w:horzAnchor="margin" w:tblpXSpec="right" w:tblpY="41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2551"/>
        <w:gridCol w:w="1418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6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所属区域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□局属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■武进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□金坛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□溧阳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□钟楼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□天宁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□新北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6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淹城初中</w:t>
            </w:r>
            <w:r>
              <w:rPr>
                <w:rFonts w:ascii="黑体" w:hAnsi="宋体" w:eastAsia="黑体"/>
                <w:bCs/>
                <w:sz w:val="24"/>
                <w:szCs w:val="24"/>
              </w:rPr>
              <w:t>智慧校园建设</w:t>
            </w: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之校本资源库项目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□基础建设 ■教育资源 □信息素养  □智慧教育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□网络扶贫 □信息安全体系 □其他_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__________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姓 名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章华忠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职务/学科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13806122158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Q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Q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参与人员</w:t>
            </w:r>
          </w:p>
        </w:tc>
        <w:tc>
          <w:tcPr>
            <w:tcW w:w="7684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章华忠、何爱方、朱小波、韩燕、周兴军、严国祥、全校所有学科老师、学科网、菁优网、智学网技术人员。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项目情况与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项目推进情况介绍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kern w:val="0"/>
                <w:sz w:val="24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0"/>
              </w:rPr>
              <w:t>（即视频主要内容）</w:t>
            </w:r>
          </w:p>
        </w:tc>
        <w:tc>
          <w:tcPr>
            <w:tcW w:w="768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（主要包括拟解决问题、推进过程、阶段成果、存在困难与下阶段计划）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本项目拟解决问题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此项目是学校智慧校园建设中智慧教学的一部分。校本资源库项目需要解决的问题是：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提供校本资源管理功能，实现学校内的教学资源的共建共享，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重组和改造各类优质数字教育资源以适应实际教学需要。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推进过程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群策群力，建立了项目保障机制和相关制度。该项目由学校一把手校长领衔，有分管教学、科研、人事的副校长及信息处主任参与学校信息化建设的决策，有所有学科老师参与其中。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“借脑”生智，多方合作，搭建了校本资源库平台。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根据项目需求，慎选合作伙伴，找到理想的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IT厂商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合作，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多次与合作伙伴沟通，开诚布公展示学校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FTP资源，希望校本资源库平台达到的预期效果。然后与合作伙伴一起，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遵循《基础教育教学资源元数据》系列标准等相关规定，统一校本资源库编目信息，支持对资源进行多维度的编目(按教材，学科，媒体格式类型等)。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目前，我校已经与菁优网（www.jyeoo.com）、学科网（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www.zxxk.com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）、智学网（www.zhixue.com）等签约合作，搭建了校本资源库平台。校本资源库平台从管理、资金等方面综合考虑，舍去了本地部署，采用了云部署方式。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学校将统一采购的资源接入到校本资源库中供教师下载使用，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同时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可以将自己的优质资源通过校本公共资源库分享给其他教师。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学生通过账号登录平台，使用相关资源进行个性化学习。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有效管理和组织信息化教学资源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。资源管理采取了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层级管理：资源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平台多层级资源平台结构，方便实现校资源共建共享。资源上传：资源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支持快速、规范资源上传，支持选择资源种类、语种、年份、学段、科目、教材册章节等属性，以保证资源上传后的明确分类，便于精准查找。同时，支持上传时可选择同步至校本资源库。资源平台支持资源先上传后审核的共享机制，支持管理员自定义资源类型。支持根据教师身份信息自动定位学段、科目节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资源收藏：学校教师对感兴趣资源进行收藏，方便随时找出。资源审核：科目审核人员，可以通过管理后台，退回、通过、修改资源。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阶段成果</w:t>
            </w:r>
          </w:p>
          <w:p>
            <w:pPr>
              <w:numPr>
                <w:numId w:val="0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了校本资源库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编目信息，支持对资源进行多维度的编目(按教材，学科，媒体格式类型等)。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构建的校本资源库平台能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提供校本资源管理功能，实现学校内的教学资源的共建共享，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重组和改造数字教育资源以适应实际教学需要，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促进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教师之间的交流学习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有效管理和组织信息化教学资源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了数字教育资源服务供给能力，有效支撑学校和师生开展信息化教学应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存在困难与下阶段计划</w:t>
            </w:r>
          </w:p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如何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汇聚共享国家、省、市、区优质数字教育资源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？如何跨平台？下阶段计划将与学校本地部署的各数据平台打通，通过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多种渠道，支持多种权限设置、管理，与聊天、邮件打通，手机、电脑多终端实时同步，满足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办公、学生跨越时空的个性化学习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细秀体简 L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1909"/>
    <w:multiLevelType w:val="singleLevel"/>
    <w:tmpl w:val="08BA190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84E31EA"/>
    <w:multiLevelType w:val="singleLevel"/>
    <w:tmpl w:val="484E31E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32"/>
    <w:rsid w:val="00264EB0"/>
    <w:rsid w:val="007D6DDA"/>
    <w:rsid w:val="007F3FB8"/>
    <w:rsid w:val="008113BE"/>
    <w:rsid w:val="00AE738C"/>
    <w:rsid w:val="00C46E7D"/>
    <w:rsid w:val="00E03A32"/>
    <w:rsid w:val="10B2381A"/>
    <w:rsid w:val="31A159F4"/>
    <w:rsid w:val="3CE918BD"/>
    <w:rsid w:val="714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170</TotalTime>
  <ScaleCrop>false</ScaleCrop>
  <LinksUpToDate>false</LinksUpToDate>
  <CharactersWithSpaces>259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2020-01-14T01:53:00Z</dcterms:created>
  <dc:creator>徐展</dc:creator>
  <cp:lastModifiedBy>Administrator</cp:lastModifiedBy>
  <cp:lastPrinted>2020-04-01T10:08:03Z</cp:lastPrinted>
  <dcterms:modified xsi:type="dcterms:W3CDTF">2020-04-01T10:08:47Z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