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84"/>
          <w:szCs w:val="84"/>
        </w:rPr>
      </w:pPr>
    </w:p>
    <w:p>
      <w:pPr>
        <w:jc w:val="center"/>
        <w:rPr>
          <w:rFonts w:ascii="华文中宋" w:hAnsi="华文中宋" w:eastAsia="华文中宋"/>
          <w:b/>
          <w:sz w:val="84"/>
          <w:szCs w:val="84"/>
        </w:rPr>
      </w:pPr>
      <w:r>
        <w:rPr>
          <w:rFonts w:hint="eastAsia" w:ascii="华文中宋" w:hAnsi="华文中宋" w:eastAsia="华文中宋"/>
          <w:b/>
          <w:sz w:val="84"/>
          <w:szCs w:val="84"/>
        </w:rPr>
        <w:t>评 估 报 告 书</w:t>
      </w:r>
    </w:p>
    <w:p>
      <w:pPr>
        <w:rPr>
          <w:rFonts w:hint="eastAsia"/>
        </w:rPr>
      </w:pPr>
    </w:p>
    <w:p/>
    <w:p/>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6068" w:type="dxa"/>
        <w:tblInd w:w="126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60"/>
        <w:gridCol w:w="208"/>
        <w:gridCol w:w="440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评估项目</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nil"/>
              <w:left w:val="nil"/>
              <w:bottom w:val="single" w:color="auto" w:sz="4" w:space="0"/>
              <w:right w:val="nil"/>
            </w:tcBorders>
            <w:vAlign w:val="bottom"/>
          </w:tcPr>
          <w:p>
            <w:pPr>
              <w:spacing w:line="360" w:lineRule="exact"/>
              <w:jc w:val="center"/>
              <w:rPr>
                <w:rFonts w:hint="eastAsia" w:ascii="黑体" w:eastAsia="黑体"/>
                <w:sz w:val="32"/>
                <w:szCs w:val="32"/>
              </w:rPr>
            </w:pPr>
            <w:r>
              <w:rPr>
                <w:rFonts w:hint="eastAsia" w:ascii="黑体" w:eastAsia="黑体"/>
                <w:sz w:val="32"/>
                <w:szCs w:val="32"/>
                <w:lang w:eastAsia="zh-CN"/>
              </w:rPr>
              <w:t>素质教育</w:t>
            </w:r>
            <w:r>
              <w:rPr>
                <w:rFonts w:hint="eastAsia" w:ascii="黑体" w:eastAsia="黑体"/>
                <w:sz w:val="32"/>
                <w:szCs w:val="32"/>
              </w:rPr>
              <w:t>督导评估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被评学校</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hAnsi="ˎ̥" w:eastAsia="黑体" w:cs="宋体"/>
                <w:color w:val="000000"/>
                <w:kern w:val="0"/>
                <w:sz w:val="32"/>
                <w:szCs w:val="32"/>
              </w:rPr>
            </w:pPr>
            <w:r>
              <w:rPr>
                <w:rFonts w:hint="eastAsia" w:ascii="黑体" w:hAnsi="ˎ̥" w:eastAsia="黑体" w:cs="宋体"/>
                <w:color w:val="000000"/>
                <w:kern w:val="0"/>
                <w:sz w:val="32"/>
                <w:szCs w:val="32"/>
                <w:lang w:eastAsia="zh-CN"/>
              </w:rPr>
              <w:t>常州市青龙实验小学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评估时间</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eastAsia="黑体"/>
                <w:sz w:val="30"/>
                <w:szCs w:val="30"/>
              </w:rPr>
            </w:pPr>
            <w:r>
              <w:rPr>
                <w:rFonts w:hint="eastAsia" w:ascii="黑体" w:eastAsia="黑体"/>
                <w:sz w:val="30"/>
                <w:szCs w:val="30"/>
              </w:rPr>
              <w:t>201</w:t>
            </w:r>
            <w:r>
              <w:rPr>
                <w:rFonts w:hint="eastAsia" w:ascii="黑体" w:eastAsia="黑体"/>
                <w:sz w:val="30"/>
                <w:szCs w:val="30"/>
                <w:lang w:val="en-US" w:eastAsia="zh-CN"/>
              </w:rPr>
              <w:t>7</w:t>
            </w:r>
            <w:r>
              <w:rPr>
                <w:rFonts w:hint="eastAsia" w:ascii="黑体" w:eastAsia="黑体"/>
                <w:sz w:val="30"/>
                <w:szCs w:val="30"/>
              </w:rPr>
              <w:t>年</w:t>
            </w:r>
            <w:r>
              <w:rPr>
                <w:rFonts w:hint="eastAsia" w:ascii="黑体" w:eastAsia="黑体"/>
                <w:sz w:val="30"/>
                <w:szCs w:val="30"/>
                <w:lang w:val="en-US" w:eastAsia="zh-CN"/>
              </w:rPr>
              <w:t>11</w:t>
            </w:r>
            <w:r>
              <w:rPr>
                <w:rFonts w:hint="eastAsia" w:ascii="黑体" w:eastAsia="黑体"/>
                <w:sz w:val="30"/>
                <w:szCs w:val="30"/>
              </w:rPr>
              <w:t>月</w:t>
            </w:r>
            <w:r>
              <w:rPr>
                <w:rFonts w:hint="eastAsia" w:ascii="黑体" w:eastAsia="黑体"/>
                <w:sz w:val="30"/>
                <w:szCs w:val="30"/>
                <w:lang w:val="en-US" w:eastAsia="zh-CN"/>
              </w:rPr>
              <w:t>6</w:t>
            </w:r>
            <w:r>
              <w:rPr>
                <w:rFonts w:hint="eastAsia" w:ascii="黑体" w:eastAsia="黑体"/>
                <w:sz w:val="30"/>
                <w:szCs w:val="30"/>
              </w:rPr>
              <w:t>日</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联系电话</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eastAsia="黑体"/>
                <w:sz w:val="30"/>
                <w:szCs w:val="30"/>
                <w:lang w:eastAsia="zh-CN"/>
              </w:rPr>
            </w:pPr>
            <w:r>
              <w:rPr>
                <w:rFonts w:hint="eastAsia" w:ascii="黑体" w:eastAsia="黑体"/>
                <w:sz w:val="30"/>
                <w:szCs w:val="30"/>
                <w:lang w:val="en-US" w:eastAsia="zh-CN"/>
              </w:rPr>
              <w:t>69660627</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r>
        <w:rPr>
          <w:rFonts w:hint="eastAsia"/>
          <w:b/>
          <w:sz w:val="44"/>
          <w:szCs w:val="44"/>
        </w:rPr>
        <w:t>天宁区教育督导室</w:t>
      </w:r>
    </w:p>
    <w:p>
      <w:pPr>
        <w:jc w:val="center"/>
        <w:rPr>
          <w:rFonts w:hint="eastAsia"/>
          <w:b/>
          <w:sz w:val="44"/>
          <w:szCs w:val="44"/>
        </w:rPr>
      </w:pPr>
    </w:p>
    <w:p>
      <w:pPr>
        <w:jc w:val="center"/>
        <w:rPr>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6"/>
          <w:szCs w:val="36"/>
          <w:vertAlign w:val="baseline"/>
          <w:lang w:eastAsia="zh-CN"/>
        </w:rPr>
      </w:pPr>
      <w:r>
        <w:rPr>
          <w:rFonts w:hint="eastAsia" w:ascii="宋体" w:hAnsi="宋体" w:eastAsia="宋体" w:cs="宋体"/>
          <w:b/>
          <w:bCs/>
          <w:sz w:val="36"/>
          <w:szCs w:val="36"/>
          <w:lang w:eastAsia="zh-CN"/>
        </w:rPr>
        <w:t>常州市青龙实验</w:t>
      </w:r>
      <w:bookmarkStart w:id="0" w:name="_GoBack"/>
      <w:bookmarkEnd w:id="0"/>
      <w:r>
        <w:rPr>
          <w:rFonts w:hint="eastAsia" w:ascii="宋体" w:hAnsi="宋体" w:eastAsia="宋体" w:cs="宋体"/>
          <w:b/>
          <w:bCs/>
          <w:sz w:val="36"/>
          <w:szCs w:val="36"/>
          <w:lang w:eastAsia="zh-CN"/>
        </w:rPr>
        <w:t>小学</w:t>
      </w:r>
      <w:r>
        <w:rPr>
          <w:rFonts w:hint="eastAsia" w:ascii="宋体" w:hAnsi="宋体" w:eastAsia="宋体" w:cs="宋体"/>
          <w:b/>
          <w:bCs/>
          <w:sz w:val="36"/>
          <w:szCs w:val="36"/>
        </w:rPr>
        <w:t>区级</w:t>
      </w:r>
      <w:r>
        <w:rPr>
          <w:rFonts w:hint="eastAsia" w:ascii="宋体" w:hAnsi="宋体" w:eastAsia="宋体" w:cs="宋体"/>
          <w:b/>
          <w:bCs/>
          <w:sz w:val="36"/>
          <w:szCs w:val="36"/>
          <w:lang w:eastAsia="zh-CN"/>
        </w:rPr>
        <w:t>素质教育</w:t>
      </w:r>
      <w:r>
        <w:rPr>
          <w:rFonts w:hint="eastAsia" w:ascii="宋体" w:hAnsi="宋体" w:eastAsia="宋体" w:cs="宋体"/>
          <w:b/>
          <w:bCs/>
          <w:sz w:val="36"/>
          <w:szCs w:val="36"/>
        </w:rPr>
        <w:t>督导评估报告</w:t>
      </w:r>
    </w:p>
    <w:tbl>
      <w:tblPr>
        <w:tblStyle w:val="6"/>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86"/>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92"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13" w:leftChars="0" w:right="113" w:rightChars="0" w:firstLine="0" w:firstLineChars="0"/>
              <w:jc w:val="center"/>
              <w:textAlignment w:val="auto"/>
              <w:outlineLvl w:val="9"/>
              <w:rPr>
                <w:rFonts w:hint="eastAsia" w:ascii="华文中宋" w:hAnsi="华文中宋" w:eastAsia="华文中宋" w:cs="华文中宋"/>
                <w:b w:val="0"/>
                <w:bCs w:val="0"/>
                <w:sz w:val="28"/>
                <w:szCs w:val="28"/>
                <w:vertAlign w:val="baseline"/>
                <w:lang w:eastAsia="zh-CN"/>
              </w:rPr>
            </w:pPr>
            <w:r>
              <w:rPr>
                <w:rFonts w:hint="eastAsia" w:ascii="宋体" w:hAnsi="宋体" w:eastAsia="宋体" w:cs="宋体"/>
                <w:b w:val="0"/>
                <w:bCs w:val="0"/>
                <w:sz w:val="28"/>
                <w:szCs w:val="28"/>
                <w:vertAlign w:val="baseline"/>
                <w:lang w:eastAsia="zh-CN"/>
              </w:rPr>
              <w:t>评</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估</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组</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成</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员</w:t>
            </w:r>
          </w:p>
        </w:tc>
        <w:tc>
          <w:tcPr>
            <w:tcW w:w="2086" w:type="dxa"/>
            <w:vAlign w:val="center"/>
          </w:tcPr>
          <w:p>
            <w:pPr>
              <w:spacing w:after="156" w:afterLines="50" w:line="360" w:lineRule="auto"/>
              <w:jc w:val="center"/>
              <w:rPr>
                <w:rFonts w:hint="eastAsia" w:ascii="宋体" w:hAnsi="宋体" w:eastAsia="宋体" w:cs="宋体"/>
                <w:b/>
                <w:bCs/>
                <w:sz w:val="28"/>
                <w:szCs w:val="28"/>
                <w:vertAlign w:val="baseline"/>
                <w:lang w:eastAsia="zh-CN"/>
              </w:rPr>
            </w:pPr>
            <w:r>
              <w:rPr>
                <w:rFonts w:hint="eastAsia" w:ascii="宋体" w:hAnsi="宋体" w:eastAsia="宋体" w:cs="宋体"/>
                <w:b w:val="0"/>
                <w:bCs w:val="0"/>
                <w:sz w:val="28"/>
                <w:szCs w:val="28"/>
                <w:vertAlign w:val="baseline"/>
                <w:lang w:eastAsia="zh-CN"/>
              </w:rPr>
              <w:t>组长</w:t>
            </w:r>
          </w:p>
        </w:tc>
        <w:tc>
          <w:tcPr>
            <w:tcW w:w="6296" w:type="dxa"/>
            <w:vAlign w:val="center"/>
          </w:tcPr>
          <w:p>
            <w:pPr>
              <w:spacing w:after="156" w:afterLines="50" w:line="360" w:lineRule="auto"/>
              <w:jc w:val="center"/>
              <w:rPr>
                <w:rFonts w:hint="eastAsia" w:ascii="宋体" w:hAnsi="宋体" w:eastAsia="宋体" w:cs="宋体"/>
                <w:b w:val="0"/>
                <w:bCs w:val="0"/>
                <w:sz w:val="28"/>
                <w:szCs w:val="28"/>
                <w:vertAlign w:val="baseline"/>
                <w:lang w:eastAsia="zh-CN"/>
              </w:rPr>
            </w:pPr>
            <w:r>
              <w:rPr>
                <w:rFonts w:hint="eastAsia" w:ascii="仿宋_GB2312" w:eastAsia="仿宋_GB2312"/>
                <w:b w:val="0"/>
                <w:color w:val="auto"/>
                <w:sz w:val="28"/>
                <w:szCs w:val="28"/>
                <w:lang w:val="en-US" w:eastAsia="zh-CN"/>
              </w:rPr>
              <w:t>钱爱芙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92" w:type="dxa"/>
            <w:vMerge w:val="continue"/>
            <w:vAlign w:val="center"/>
          </w:tcPr>
          <w:p>
            <w:pPr>
              <w:spacing w:after="156" w:afterLines="50" w:line="360" w:lineRule="auto"/>
              <w:jc w:val="center"/>
              <w:rPr>
                <w:rFonts w:hint="eastAsia" w:ascii="华文中宋" w:hAnsi="华文中宋" w:eastAsia="华文中宋" w:cs="华文中宋"/>
                <w:b/>
                <w:bCs/>
                <w:sz w:val="28"/>
                <w:szCs w:val="28"/>
                <w:vertAlign w:val="baseline"/>
              </w:rPr>
            </w:pPr>
          </w:p>
        </w:tc>
        <w:tc>
          <w:tcPr>
            <w:tcW w:w="2086" w:type="dxa"/>
            <w:vAlign w:val="center"/>
          </w:tcPr>
          <w:p>
            <w:pPr>
              <w:spacing w:after="156" w:afterLines="50" w:line="360" w:lineRule="auto"/>
              <w:jc w:val="center"/>
              <w:rPr>
                <w:rFonts w:hint="eastAsia" w:ascii="宋体" w:hAnsi="宋体" w:eastAsia="宋体" w:cs="宋体"/>
                <w:b/>
                <w:bCs/>
                <w:sz w:val="28"/>
                <w:szCs w:val="28"/>
                <w:vertAlign w:val="baseline"/>
                <w:lang w:eastAsia="zh-CN"/>
              </w:rPr>
            </w:pPr>
            <w:r>
              <w:rPr>
                <w:rFonts w:hint="eastAsia" w:ascii="宋体" w:hAnsi="宋体" w:eastAsia="宋体" w:cs="宋体"/>
                <w:b w:val="0"/>
                <w:bCs w:val="0"/>
                <w:sz w:val="28"/>
                <w:szCs w:val="28"/>
                <w:vertAlign w:val="baseline"/>
                <w:lang w:eastAsia="zh-CN"/>
              </w:rPr>
              <w:t>组员</w:t>
            </w:r>
          </w:p>
        </w:tc>
        <w:tc>
          <w:tcPr>
            <w:tcW w:w="6296" w:type="dxa"/>
            <w:vAlign w:val="center"/>
          </w:tcPr>
          <w:p>
            <w:pPr>
              <w:jc w:val="center"/>
              <w:rPr>
                <w:rFonts w:hint="eastAsia" w:ascii="宋体" w:hAnsi="宋体" w:eastAsia="宋体" w:cs="宋体"/>
                <w:b w:val="0"/>
                <w:bCs w:val="0"/>
                <w:sz w:val="28"/>
                <w:szCs w:val="28"/>
                <w:vertAlign w:val="baseline"/>
                <w:lang w:eastAsia="zh-CN"/>
              </w:rPr>
            </w:pPr>
            <w:r>
              <w:rPr>
                <w:rFonts w:hint="eastAsia" w:ascii="仿宋_GB2312" w:eastAsia="仿宋_GB2312"/>
                <w:b w:val="0"/>
                <w:color w:val="auto"/>
                <w:sz w:val="28"/>
                <w:szCs w:val="28"/>
                <w:lang w:eastAsia="zh-CN"/>
              </w:rPr>
              <w:t>吴伟锋</w:t>
            </w:r>
            <w:r>
              <w:rPr>
                <w:rFonts w:hint="eastAsia" w:ascii="仿宋_GB2312" w:eastAsia="仿宋_GB2312"/>
                <w:b w:val="0"/>
                <w:color w:val="auto"/>
                <w:sz w:val="28"/>
                <w:szCs w:val="28"/>
                <w:lang w:val="en-US" w:eastAsia="zh-CN"/>
              </w:rPr>
              <w:t>、周小芬、梁晓云、吕建伟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92" w:type="dxa"/>
            <w:vMerge w:val="continue"/>
            <w:vAlign w:val="center"/>
          </w:tcPr>
          <w:p>
            <w:pPr>
              <w:spacing w:after="156" w:afterLines="50" w:line="360" w:lineRule="auto"/>
              <w:jc w:val="center"/>
              <w:rPr>
                <w:rFonts w:hint="eastAsia" w:ascii="华文中宋" w:hAnsi="华文中宋" w:eastAsia="华文中宋" w:cs="华文中宋"/>
                <w:b/>
                <w:bCs/>
                <w:sz w:val="28"/>
                <w:szCs w:val="28"/>
                <w:vertAlign w:val="baseline"/>
              </w:rPr>
            </w:pPr>
          </w:p>
        </w:tc>
        <w:tc>
          <w:tcPr>
            <w:tcW w:w="2086" w:type="dxa"/>
            <w:vAlign w:val="center"/>
          </w:tcPr>
          <w:p>
            <w:pPr>
              <w:spacing w:after="156" w:afterLines="50" w:line="360" w:lineRule="auto"/>
              <w:jc w:val="center"/>
              <w:rPr>
                <w:rFonts w:hint="eastAsia" w:ascii="宋体" w:hAnsi="宋体" w:eastAsia="宋体" w:cs="宋体"/>
                <w:b/>
                <w:bCs/>
                <w:sz w:val="28"/>
                <w:szCs w:val="28"/>
                <w:vertAlign w:val="baseline"/>
                <w:lang w:eastAsia="zh-CN"/>
              </w:rPr>
            </w:pPr>
            <w:r>
              <w:rPr>
                <w:rFonts w:hint="eastAsia" w:ascii="宋体" w:hAnsi="宋体" w:eastAsia="宋体" w:cs="宋体"/>
                <w:b w:val="0"/>
                <w:bCs w:val="0"/>
                <w:sz w:val="28"/>
                <w:szCs w:val="28"/>
                <w:vertAlign w:val="baseline"/>
                <w:lang w:eastAsia="zh-CN"/>
              </w:rPr>
              <w:t>联络员</w:t>
            </w:r>
          </w:p>
        </w:tc>
        <w:tc>
          <w:tcPr>
            <w:tcW w:w="6296" w:type="dxa"/>
            <w:vAlign w:val="center"/>
          </w:tcPr>
          <w:p>
            <w:pPr>
              <w:spacing w:after="156" w:afterLines="50" w:line="36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毛刘红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174" w:type="dxa"/>
            <w:gridSpan w:val="3"/>
            <w:vAlign w:val="center"/>
          </w:tcPr>
          <w:p>
            <w:pPr>
              <w:spacing w:after="156" w:afterLines="50" w:line="360" w:lineRule="auto"/>
              <w:jc w:val="center"/>
              <w:rPr>
                <w:rFonts w:hint="eastAsia" w:ascii="华文中宋" w:hAnsi="华文中宋" w:eastAsia="华文中宋" w:cs="华文中宋"/>
                <w:b w:val="0"/>
                <w:bCs w:val="0"/>
                <w:sz w:val="28"/>
                <w:szCs w:val="28"/>
                <w:vertAlign w:val="baseline"/>
                <w:lang w:eastAsia="zh-CN"/>
              </w:rPr>
            </w:pPr>
            <w:r>
              <w:rPr>
                <w:rFonts w:hint="eastAsia" w:ascii="宋体" w:hAnsi="宋体" w:eastAsia="宋体" w:cs="宋体"/>
                <w:b w:val="0"/>
                <w:bCs w:val="0"/>
                <w:sz w:val="28"/>
                <w:szCs w:val="28"/>
                <w:vertAlign w:val="baseline"/>
                <w:lang w:eastAsia="zh-CN"/>
              </w:rPr>
              <w:t>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174" w:type="dxa"/>
            <w:gridSpan w:val="3"/>
            <w:vAlign w:val="center"/>
          </w:tcPr>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 xml:space="preserve"> </w:t>
            </w:r>
            <w:r>
              <w:rPr>
                <w:rFonts w:hint="eastAsia" w:ascii="仿宋_GB2312" w:hAnsi="仿宋_GB2312" w:eastAsia="仿宋_GB2312" w:cs="仿宋_GB2312"/>
                <w:b w:val="0"/>
                <w:bCs w:val="0"/>
                <w:kern w:val="2"/>
                <w:sz w:val="21"/>
                <w:szCs w:val="21"/>
              </w:rPr>
              <w:t>根据《关于开展天宁区中小学素质教育督导考核工作的通知》（常天教〔2012〕97号）文件精神及区督导评估工作计划，天宁区人民政府教育督导室组成督导评估组一行6人，于2017年11月</w:t>
            </w:r>
            <w:r>
              <w:rPr>
                <w:rFonts w:hint="eastAsia" w:ascii="仿宋_GB2312" w:hAnsi="仿宋_GB2312" w:eastAsia="仿宋_GB2312" w:cs="仿宋_GB2312"/>
                <w:b w:val="0"/>
                <w:bCs w:val="0"/>
                <w:kern w:val="2"/>
                <w:sz w:val="21"/>
                <w:szCs w:val="21"/>
                <w:lang w:val="en-US" w:eastAsia="zh-CN"/>
              </w:rPr>
              <w:t>6</w:t>
            </w:r>
            <w:r>
              <w:rPr>
                <w:rFonts w:hint="eastAsia" w:ascii="仿宋_GB2312" w:hAnsi="仿宋_GB2312" w:eastAsia="仿宋_GB2312" w:cs="仿宋_GB2312"/>
                <w:b w:val="0"/>
                <w:bCs w:val="0"/>
                <w:kern w:val="2"/>
                <w:sz w:val="21"/>
                <w:szCs w:val="21"/>
              </w:rPr>
              <w:t>日对常州市天宁区</w:t>
            </w:r>
            <w:r>
              <w:rPr>
                <w:rFonts w:hint="eastAsia" w:ascii="仿宋_GB2312" w:hAnsi="仿宋_GB2312" w:eastAsia="仿宋_GB2312" w:cs="仿宋_GB2312"/>
                <w:b w:val="0"/>
                <w:bCs w:val="0"/>
                <w:kern w:val="2"/>
                <w:sz w:val="21"/>
                <w:szCs w:val="21"/>
                <w:lang w:eastAsia="zh-CN"/>
              </w:rPr>
              <w:t>青龙实验</w:t>
            </w:r>
            <w:r>
              <w:rPr>
                <w:rFonts w:hint="eastAsia" w:ascii="仿宋_GB2312" w:hAnsi="仿宋_GB2312" w:eastAsia="仿宋_GB2312" w:cs="仿宋_GB2312"/>
                <w:b w:val="0"/>
                <w:bCs w:val="0"/>
                <w:kern w:val="2"/>
                <w:sz w:val="21"/>
                <w:szCs w:val="21"/>
              </w:rPr>
              <w:t>小学进行了督导评估。现将现场督导评估工作情况及工作意见报告如下：</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eastAsia="zh-CN"/>
              </w:rPr>
            </w:pPr>
            <w:r>
              <w:rPr>
                <w:rFonts w:hint="eastAsia" w:ascii="仿宋_GB2312" w:hAnsi="仿宋_GB2312" w:eastAsia="仿宋_GB2312" w:cs="仿宋_GB2312"/>
                <w:b w:val="0"/>
                <w:bCs w:val="0"/>
                <w:kern w:val="2"/>
                <w:sz w:val="21"/>
                <w:szCs w:val="21"/>
                <w:lang w:eastAsia="zh-CN"/>
              </w:rPr>
              <w:t>一、评估概况</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rPr>
              <w:t>在一天的评估过程中，</w:t>
            </w:r>
            <w:r>
              <w:rPr>
                <w:rFonts w:hint="eastAsia" w:ascii="仿宋_GB2312" w:hAnsi="仿宋_GB2312" w:eastAsia="仿宋_GB2312" w:cs="仿宋_GB2312"/>
                <w:b w:val="0"/>
                <w:bCs w:val="0"/>
                <w:kern w:val="2"/>
                <w:sz w:val="21"/>
                <w:szCs w:val="21"/>
                <w:lang w:val="en-US" w:eastAsia="zh-CN"/>
              </w:rPr>
              <w:t>评估组听取了金伟平校长作的学校自评报告；并就办学思想、制度建设、队伍建设、规范办学、德育活动、课堂教学、办学成效、文化建设与特色培育等话题与学校领导班子进行了交流；实地察看了校容校貌和设施设备等情况，查阅了相关纸质文档资料和电子文档材料，观摩了教研活动、大课间活动以及特色活动展示；督导组听课 25 节，其中优秀课 13 节，占 52  %，良好课 12 节，占48 %，对 100 位 3-6 年级学生进行了问卷调查，对 10位教师进行了访谈，对 40 位教师进行了问卷；对 10位 学生进行了访谈；对 93 名家长问卷调查；对 100 名学生问卷调查；随机对  四（3）班 44 位学生进行了科学素养  测试，结果为优秀 ；随机对 四（4）班45位学生进行了信息素养  测试，结果为 良好 ；查阅了部分教师备课笔记和学生作业；观看了  语文 备课组的集体备课。</w:t>
            </w:r>
          </w:p>
          <w:p>
            <w:pPr>
              <w:keepNext w:val="0"/>
              <w:keepLines w:val="0"/>
              <w:pageBreakBefore w:val="0"/>
              <w:widowControl w:val="0"/>
              <w:kinsoku/>
              <w:wordWrap/>
              <w:overflowPunct/>
              <w:topLinePunct w:val="0"/>
              <w:autoSpaceDE/>
              <w:autoSpaceDN/>
              <w:bidi w:val="0"/>
              <w:adjustRightInd/>
              <w:spacing w:line="290" w:lineRule="exact"/>
              <w:ind w:right="0" w:rightChars="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评估组在分工调研，汇总情况，集体讨论的基础上，形成如下评估意见。</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二、总体评价</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常州市青龙实验小学历史悠久，底蕴深厚。学校占地25853平方米，建筑面积17442平方米，功能齐全、环境优美。</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学校现有32个教学班，在校学生1459名，在编教师76名，教师平均年龄40岁，行政平均年龄42.9岁。其中中学高级教师16人，中小学一级教师43人，教师大专以上学历75人，占教师总数的98.7%，其中本科及以上61人，研究生3人，市、区五级梯队优秀教师30名，占教师总数的39.5%。</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近年来，学校先后获得全国教育生态示范学校、全国节约型校园建设示范校、江苏省文明单位、省青少年科技特色学校、省绿色学校、省“冬季三项”体育锻炼先进学校、市体育传统学校、市德育先进学校、市优秀学校少年宫、市科普教育基地、市优秀示范家长学校、市依法治校先进学校等荣誉称号。</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三、主要成绩和办学亮点</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（一）以规范管理为抓手，提升服务水平</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1.管理讲民主：青龙实验小学工会认真行使对学校行政的监督权，积极参与学校的民主管理，切实维护广大教职工的合法权益：财务收支情况、绩效工资、定编定岗、考核评优等涉及教职工利益的问题等，都能由教代会讨论通过。学校还深化干部人事制度改革，完善学校的中层干部选拔任用机制，挖掘人才、知人善用，学校在中层选拔上实行公开竞聘。</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2.管理重策略：学校学科课程与活动课程建设是以项目方式推进的，基本上是由学科组、级部组、大队委承担，管理重心自然下移。学校管理也由制约走向激励与引导。课程活动让每一个人都不自觉的裹挟进来，释放出潜能，校园变得生机勃勃。从最初的少数人到全员参与，从学校组织到年级、教研组负责，甚至以班级、教师为单位开发实施，课程生活比以往更灵活、更开放、更具个性。</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3.管理有温度：学校时刻把教职工的冷暖挂在心头，把组织的温暖送到教职工的心里。对因大病、突发性事件造成困难的教师，工会做到“第一知情人，第一报告人，第一帮助人”，千方百计地为教职工办实事、办好事。无论是节日祝福、照顾女工、美化环境、改善伙食，还是开展体育活动、组织教师外出学习等都给每位教职工送去了细微至亲的关怀，帮助教师们缓解压力，以积极、乐观的态度来对待生活。</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（二）以实践研究为重点，引领内涵发展</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1.夯实学科研究：以课堂转型为突破口，把基础课程做实。学校校本化实施国家课程，追求简约开放、自主乐学的课堂文化。本着“轻负高效”的宗旨，学校课程部带着各学科教研组，认真梳理本组存在问题及需求，结合学校师资和学生的实际情况，确立研究主题，长程规划与有层次分阶段实施相结合，量身定制各阶段教研主题并扎实开展活动，有计划有步骤地实践研究，各个突破。实践研究过程中，转型意识已然成为老师们的一种研究习惯，并牢牢把握“更新观念是前提，转变思维是关键，扎根日常是基础”的转型要求。努力尝试优化教与学的方式，营造民主平等、充满活力、富有创造力的课堂生态，以本真的实践研究将基础课程做实。</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2.创新课题研究：课题研究与学校的教育教学管理、教育教学实践紧密结合，重在平时，研在常态，睿察善思。目前学校有4个市级备案课题和十多个校级课题。每个课题组能针对青小教育教学实践中的问题，制定研究方案并开展实施，边实践边思考。有对应教育教学管理的《学校微信公众平台建设与应用的实践研究》的课题研究，通过平台优化、提升服务管理的效率；使得家校沟通更顺畅，寻求合力，助力学校发展；应用平台灵活开展线上线下混合式校本培训。有对应课堂转型的教学实践研究，如《基于课堂转型视野下小学语文阅读教学中教师话语现象的研究》，着力以教师话语现象的研究为突破口，努力改善课堂生态，推动课堂转型。如美术课题组拟尝试将绘本元素植入美术课堂教学，为创作提供更多空间，激发学生的创作欲望，潜移默化提高学生的美术素养，培养学生的人文精神。小语段课题组本学期拟从“自主预习意识的激发，有效预习能力的培养，自发预习行为的习惯化”三个方面入手，探索低段语文有效预习能力的培养策略。</w:t>
            </w:r>
          </w:p>
          <w:p>
            <w:pPr>
              <w:keepNext w:val="0"/>
              <w:keepLines w:val="0"/>
              <w:pageBreakBefore w:val="0"/>
              <w:widowControl w:val="0"/>
              <w:kinsoku/>
              <w:wordWrap/>
              <w:overflowPunct/>
              <w:topLinePunct w:val="0"/>
              <w:autoSpaceDE/>
              <w:autoSpaceDN/>
              <w:bidi w:val="0"/>
              <w:adjustRightInd/>
              <w:spacing w:line="290" w:lineRule="exact"/>
              <w:ind w:right="0" w:rightChars="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    3.开拓“青心计划”：2016年8月，学校与北师大儿童心理发展研究院牵手合作，资深儿童心理专家走进学校课堂、走进学校活动，走进教研组、走进课程部，就学科课程建设和活动课程建设展开了深度合作，专业人士从学习认知心理的发展和人格塑造的角度为老师们提供了另一份专业的参考意见，有助于老师们更好地把握学生群体特质和个体，相对以往，学校的课程活动更有针对性，效度更明显。</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（三）以课程改革为核心，促进质量提升</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青龙实验小学既有必修的国家课程，又有多样的校本课程。有全校性的羽毛球校本课程、科技种植课程。另外还有每周五社团时间开设的1—6的年级课程、校级社团、班级社团。校本课程内容丰富多彩，包含了语言类、艺体类、科技类、生活类等四大类别，近50门。都是从学科延伸出来的，偏重于从学科角度挖掘育人功能，提升育人价值。</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1.社团活动助推成长：社团时间，实行全校的走班教学。每个社团都有自己的招募方式、活动形式、相对固定的活动时间和活动场地，也有严格的考核制度。在各班班主任和年级组长的协助下，“兴趣选修”做到了真正意义上的“自主”，所有课程都由学生和老师根据自已的兴趣爱好和特长进行申报，真正体现社团选修课程丰富性、可选择性与游历性的原则，满足学生的多元需要。</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2.年级课程面向全体：1—3年级分别是打击乐、街舞、MIDI，属于艺术类， 4—6年级分别是击剑、射箭、马术，属于体育类。这些课程是从国家艺体课程延伸出来的，引进外援，聘请高水平的专业团队为孩子授课。6门课程的选择是基于我校学生的群体特质量身定制的。如击剑能带给孩子自律、攻防有致的体验，射箭能培养孩子专注，马术是让孩子体验什么是高雅、勇敢、自信，如何与动物相处等。年级课程的安排看中的是艺术、体育教育对学生的人格培养、健康心理、情感陶冶等具有重要价值。不惜创造条件让这些家庭生活条件一般的孩子也有机会亲身实践、体验、感悟自信、勇敢、进取、自律、高雅、现代等。</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3.特色课程彰显亮点：每个年级每周体育课中有一节是羽毛球课。采取的是体校结合的方式，每节课由一位体育老师和市羽毛球专业教练共同合作完成教学。目的是让每个孩子掌握一项体育技能、锻炼意志品质的同时，也使得其在将来能多一项健康的交友方式。学校的物联网云管理平台、雨水收集工程、智能灌溉系统、箱体式联排种植方式、红领巾电商平台……全新的现代种植理念及方法、现代生活方式、节能意识、环境保护意识等能让全校孩子在丰富新颖的科技课程生活中切切实实地触摸到、感觉到、体悟到。</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（四）以后勤服务为保障，打造平安校园</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学校紧紧围绕依法治校、以德治校的总体要求，坚持“安全第一、预防为主”的方针，努力探索学校综治、普法、安全工作的新路子，使学校的安全工作逐步实现制度化、规范化，建立文明有序、安全稳定的校园环境，为教书育人创设一个优良环境。</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1.建章立制高标准：教育教学有校产校具使用、维护制度，各专用室管理制度。安全有用电、用水管理制度、垃圾处理制度、校园车辆管理制度、食堂管理制度、校园安全定期检查制度、学校学生安全信息通报制度、教师值班制度、学校安全保卫制度、学校安全巡查制度、食品卫生管理制度等。财务制度有财务管理制度、物品采购及报销制度、教育乱收费责任追究制度等，学校后勤管理工作遵循科学管理、制度管理的原则，建立合理的奖励机制，长效管理。</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2.规范执行是根本：校产进入电脑化管理，财务管理制度完善，手续齐全，收费规范。学校合理使用教育经费，不断完善教学设施， 对学校的各项开支，能严格执行学校制定的审批制度，坚持校务公开，实行民主理财，增强理财公开透明度。确保将有限的经费全部用在学校的发展上，使它发挥出最大的效益。平时组织员工认真学习食品卫生法律法规，强化食品卫生的安全意识，确保师生饮食安全。同时加强午餐值班管理，家委会和工会不定期对食堂进行检查、督促，确保学生用好餐。</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3.安全工作时时抓：建立健全各项预警机制，在校舍、设备、饮食、消防、卫生、集会等方面狠抓安全工作的落实，建立日常管理台帐，利用晨会课，班队课、升旗仪式、电视台、展板等丰富多彩的方式对学生开展安全宣传教育，起到良好效果。组织教职员工每学期举行两次消防、抗震疏散演练活动，还有防恐防暴演练。</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四、主要不足和思考建议</w:t>
            </w:r>
          </w:p>
          <w:p>
            <w:pPr>
              <w:keepNext w:val="0"/>
              <w:keepLines w:val="0"/>
              <w:pageBreakBefore w:val="0"/>
              <w:widowControl w:val="0"/>
              <w:kinsoku/>
              <w:wordWrap/>
              <w:overflowPunct/>
              <w:topLinePunct w:val="0"/>
              <w:autoSpaceDE/>
              <w:autoSpaceDN/>
              <w:bidi w:val="0"/>
              <w:adjustRightInd/>
              <w:spacing w:line="290" w:lineRule="exact"/>
              <w:ind w:right="0" w:rightChars="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考察以往的业绩，展望未来的发展，我们感到，青龙实验小学有着很好的发展基础和发展潜力。着眼学校进一步提高办学水平，在全面实施素质教育过程中再创新佳绩、再出新成果，现提出如下几点意见建议：</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（一）文化引领，力求顶层设计高站位</w:t>
            </w:r>
          </w:p>
          <w:p>
            <w:pPr>
              <w:keepNext w:val="0"/>
              <w:keepLines w:val="0"/>
              <w:pageBreakBefore w:val="0"/>
              <w:widowControl w:val="0"/>
              <w:kinsoku/>
              <w:wordWrap/>
              <w:overflowPunct/>
              <w:topLinePunct w:val="0"/>
              <w:autoSpaceDE/>
              <w:autoSpaceDN/>
              <w:bidi w:val="0"/>
              <w:adjustRightInd/>
              <w:spacing w:line="290" w:lineRule="exact"/>
              <w:ind w:right="0" w:rightChars="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建议学校依据教育发展转型的宏观背景和学校新一轮发展的实际，对办学理念、办学目标和育人目标等作更高层次的提炼与架构，形成既富有时代气息又凸显学校自身底蕴的办学理念系统。对学校的发展思路作整体规划设计，对培养目标作进一步的细化并转化为切实可行的操作实施策略。提炼和充实能统领学校文化建设的核心主题，丰富发展内涵，提升办学品质，加强特色建设，扩大学校的知名度和影响力。</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（二）传承创新，形成素质教育新样态</w:t>
            </w:r>
          </w:p>
          <w:p>
            <w:pPr>
              <w:keepNext w:val="0"/>
              <w:keepLines w:val="0"/>
              <w:pageBreakBefore w:val="0"/>
              <w:widowControl w:val="0"/>
              <w:kinsoku/>
              <w:wordWrap/>
              <w:overflowPunct/>
              <w:topLinePunct w:val="0"/>
              <w:autoSpaceDE/>
              <w:autoSpaceDN/>
              <w:bidi w:val="0"/>
              <w:adjustRightInd/>
              <w:spacing w:line="290" w:lineRule="exact"/>
              <w:ind w:right="0" w:rightChars="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建议学校在办学理念与目标的引领下，建立基于学校育人目标下的课程体系，丰富完善课程的整体建构与实践创新，增强课程的多样性、选择性和针对性，完善课程的目标、结构、实施、评价，满足儿童发展的个性需求，促进学生核心素养的发展，进一步彰显学校特色。同时，学校应根据教师成长与发展的内生规律，不断引领教师转变教育观念，加强教师的培训和培养；要建构具有激励功能的名优教师培养和发挥作用的机制，加大各级骨干教师的培养力度，为教育的优质、均衡发展提供智力支持和队伍支撑；要整体提升学校教师队伍的素质，提升教师教学改革与课程实施水平，以更好地提升教育教学的质量。</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（三）加大投入，实现学校发展再突破</w:t>
            </w:r>
          </w:p>
          <w:p>
            <w:pPr>
              <w:keepNext w:val="0"/>
              <w:keepLines w:val="0"/>
              <w:pageBreakBefore w:val="0"/>
              <w:widowControl w:val="0"/>
              <w:kinsoku/>
              <w:wordWrap/>
              <w:overflowPunct/>
              <w:topLinePunct w:val="0"/>
              <w:autoSpaceDE/>
              <w:autoSpaceDN/>
              <w:bidi w:val="0"/>
              <w:adjustRightInd/>
              <w:spacing w:line="290" w:lineRule="exact"/>
              <w:ind w:right="0" w:rightChars="0" w:firstLine="420" w:firstLineChars="200"/>
              <w:jc w:val="both"/>
              <w:textAlignment w:val="auto"/>
              <w:outlineLvl w:val="9"/>
              <w:rPr>
                <w:rFonts w:hint="eastAsia" w:ascii="仿宋_GB2312" w:hAnsi="仿宋_GB2312" w:eastAsia="仿宋_GB2312" w:cs="仿宋_GB2312"/>
                <w:b w:val="0"/>
                <w:bCs w:val="0"/>
                <w:kern w:val="2"/>
                <w:sz w:val="21"/>
                <w:szCs w:val="21"/>
                <w:lang w:val="en-US" w:eastAsia="zh-CN"/>
              </w:rPr>
            </w:pPr>
            <w:r>
              <w:rPr>
                <w:rFonts w:hint="eastAsia" w:ascii="仿宋_GB2312" w:hAnsi="仿宋_GB2312" w:eastAsia="仿宋_GB2312" w:cs="仿宋_GB2312"/>
                <w:b w:val="0"/>
                <w:bCs w:val="0"/>
                <w:kern w:val="2"/>
                <w:sz w:val="21"/>
                <w:szCs w:val="21"/>
                <w:lang w:val="en-US" w:eastAsia="zh-CN"/>
              </w:rPr>
              <w:t>要努力把学校办成一所质量更好、品质更优、气质更美的现代化学校，还需要得到教育局和地方政府一如既往的支持，加大教育经费的投入，帮助学校进一步改善办学条件，给予学校进行师资培训和与课程改革相配套的信息资源建设、文化设施建设所必须的资金上的支持，提升学校发展的文化档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中宋" w:hAnsi="华文中宋" w:eastAsia="华文中宋" w:cs="华文中宋"/>
                <w:b w:val="0"/>
                <w:bCs w:val="0"/>
                <w:sz w:val="28"/>
                <w:szCs w:val="28"/>
                <w:vertAlign w:val="baseline"/>
                <w:lang w:eastAsia="zh-CN"/>
              </w:rPr>
            </w:pPr>
          </w:p>
        </w:tc>
      </w:tr>
    </w:tbl>
    <w:p>
      <w:pPr>
        <w:tabs>
          <w:tab w:val="left" w:pos="1620"/>
        </w:tabs>
        <w:spacing w:line="360" w:lineRule="exact"/>
        <w:ind w:firstLine="602" w:firstLineChars="200"/>
        <w:jc w:val="both"/>
        <w:rPr>
          <w:rFonts w:hint="eastAsia"/>
          <w:b/>
          <w:sz w:val="32"/>
          <w:szCs w:val="32"/>
        </w:rPr>
      </w:pPr>
      <w:r>
        <w:rPr>
          <w:rFonts w:hint="eastAsia"/>
          <w:b/>
          <w:sz w:val="30"/>
          <w:szCs w:val="30"/>
          <w:u w:val="single"/>
          <w:lang w:eastAsia="zh-CN"/>
        </w:rPr>
        <w:t>常州市青龙实验小学</w:t>
      </w:r>
      <w:r>
        <w:rPr>
          <w:rFonts w:hint="eastAsia"/>
          <w:b/>
          <w:sz w:val="30"/>
          <w:szCs w:val="30"/>
        </w:rPr>
        <w:t>素质教育督导评估主要扣分</w:t>
      </w:r>
      <w:r>
        <w:rPr>
          <w:rFonts w:hint="eastAsia"/>
          <w:b/>
          <w:sz w:val="30"/>
          <w:szCs w:val="30"/>
          <w:lang w:eastAsia="zh-CN"/>
        </w:rPr>
        <w:t>情况</w:t>
      </w:r>
    </w:p>
    <w:tbl>
      <w:tblPr>
        <w:tblStyle w:val="6"/>
        <w:tblpPr w:leftFromText="180" w:rightFromText="180" w:vertAnchor="text" w:horzAnchor="page" w:tblpXSpec="center" w:tblpY="279"/>
        <w:tblOverlap w:val="never"/>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40"/>
        <w:gridCol w:w="1260"/>
        <w:gridCol w:w="7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Ａ级指标</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Ｂ级指标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C级指标</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扣分</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扣分原因或建议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A1办学思想(10分)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B1教育理念4分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B2办学思路6分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办学思路需进一步明晰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800"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A2制度建设（15分）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B3依法治校3分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C3</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B4规章制度12分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C4—C7</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800"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A3</w:t>
            </w:r>
            <w:r>
              <w:rPr>
                <w:rFonts w:hint="eastAsia" w:ascii="仿宋_GB2312" w:hAnsi="宋体" w:eastAsia="仿宋_GB2312"/>
                <w:color w:val="000000"/>
                <w:sz w:val="24"/>
                <w:lang w:eastAsia="zh-CN"/>
              </w:rPr>
              <w:t>条件保障</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5分）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B5</w:t>
            </w:r>
            <w:r>
              <w:rPr>
                <w:rFonts w:hint="eastAsia" w:ascii="仿宋_GB2312" w:hAnsi="宋体" w:eastAsia="仿宋_GB2312"/>
                <w:color w:val="000000"/>
                <w:sz w:val="24"/>
                <w:lang w:eastAsia="zh-CN"/>
              </w:rPr>
              <w:t>经费投入</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C8</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B6</w:t>
            </w:r>
            <w:r>
              <w:rPr>
                <w:rFonts w:hint="eastAsia" w:ascii="仿宋_GB2312" w:hAnsi="宋体" w:eastAsia="仿宋_GB2312"/>
                <w:color w:val="000000"/>
                <w:sz w:val="24"/>
                <w:lang w:eastAsia="zh-CN"/>
              </w:rPr>
              <w:t>设施设备</w:t>
            </w:r>
            <w:r>
              <w:rPr>
                <w:rFonts w:hint="eastAsia" w:ascii="仿宋_GB2312" w:hAnsi="宋体" w:eastAsia="仿宋_GB2312"/>
                <w:color w:val="000000"/>
                <w:sz w:val="24"/>
                <w:lang w:val="en-US" w:eastAsia="zh-CN"/>
              </w:rPr>
              <w:t>10</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w:t>
            </w:r>
            <w:r>
              <w:rPr>
                <w:rFonts w:hint="eastAsia" w:ascii="仿宋_GB2312" w:hAnsi="宋体" w:eastAsia="仿宋_GB2312"/>
                <w:sz w:val="24"/>
                <w:lang w:val="en-US" w:eastAsia="zh-CN"/>
              </w:rPr>
              <w:t>9</w:t>
            </w:r>
            <w:r>
              <w:rPr>
                <w:rFonts w:hint="eastAsia" w:ascii="仿宋_GB2312" w:hAnsi="宋体" w:eastAsia="仿宋_GB2312"/>
                <w:sz w:val="24"/>
              </w:rPr>
              <w:t>—C12</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部分专用教室有蜘蛛网；部分教室的教具有积灰、缺更新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A4</w:t>
            </w:r>
            <w:r>
              <w:rPr>
                <w:rFonts w:hint="eastAsia" w:ascii="仿宋_GB2312" w:hAnsi="宋体" w:eastAsia="仿宋_GB2312"/>
                <w:color w:val="000000"/>
                <w:sz w:val="24"/>
                <w:lang w:eastAsia="zh-CN"/>
              </w:rPr>
              <w:t>队伍建设</w:t>
            </w:r>
          </w:p>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w:t>
            </w:r>
            <w:r>
              <w:rPr>
                <w:rFonts w:hint="eastAsia" w:ascii="仿宋_GB2312" w:hAnsi="宋体" w:eastAsia="仿宋_GB2312"/>
                <w:color w:val="000000"/>
                <w:sz w:val="24"/>
                <w:lang w:val="en-US" w:eastAsia="zh-CN"/>
              </w:rPr>
              <w:t>7师德建设5</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w:t>
            </w:r>
            <w:r>
              <w:rPr>
                <w:rFonts w:hint="eastAsia" w:ascii="仿宋_GB2312" w:hAnsi="宋体" w:eastAsia="仿宋_GB2312"/>
                <w:sz w:val="24"/>
                <w:lang w:val="en-US" w:eastAsia="zh-CN"/>
              </w:rPr>
              <w:t>13</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w:t>
            </w:r>
            <w:r>
              <w:rPr>
                <w:rFonts w:hint="eastAsia" w:ascii="仿宋_GB2312" w:hAnsi="宋体" w:eastAsia="仿宋_GB2312"/>
                <w:color w:val="000000"/>
                <w:sz w:val="24"/>
                <w:lang w:val="en-US" w:eastAsia="zh-CN"/>
              </w:rPr>
              <w:t>8干部队伍5</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w:t>
            </w:r>
            <w:r>
              <w:rPr>
                <w:rFonts w:hint="eastAsia" w:ascii="仿宋_GB2312" w:hAnsi="宋体" w:eastAsia="仿宋_GB2312"/>
                <w:sz w:val="24"/>
                <w:lang w:val="en-US" w:eastAsia="zh-CN"/>
              </w:rPr>
              <w:t>1</w:t>
            </w:r>
            <w:r>
              <w:rPr>
                <w:rFonts w:hint="eastAsia" w:ascii="仿宋_GB2312" w:hAnsi="宋体" w:eastAsia="仿宋_GB2312"/>
                <w:sz w:val="24"/>
              </w:rPr>
              <w:t>4—C</w:t>
            </w:r>
            <w:r>
              <w:rPr>
                <w:rFonts w:hint="eastAsia" w:ascii="仿宋_GB2312" w:hAnsi="宋体" w:eastAsia="仿宋_GB2312"/>
                <w:sz w:val="24"/>
                <w:lang w:val="en-US" w:eastAsia="zh-CN"/>
              </w:rPr>
              <w:t>1</w:t>
            </w:r>
            <w:r>
              <w:rPr>
                <w:rFonts w:hint="eastAsia" w:ascii="仿宋_GB2312" w:hAnsi="宋体" w:eastAsia="仿宋_GB2312"/>
                <w:sz w:val="24"/>
              </w:rPr>
              <w:t>5</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700"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听课数量不足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B9教师发展15分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lang w:val="en-US" w:eastAsia="zh-CN"/>
              </w:rPr>
            </w:pPr>
            <w:r>
              <w:rPr>
                <w:rFonts w:hint="eastAsia" w:ascii="仿宋_GB2312" w:hAnsi="宋体" w:eastAsia="仿宋_GB2312"/>
                <w:sz w:val="24"/>
              </w:rPr>
              <w:t>C</w:t>
            </w:r>
            <w:r>
              <w:rPr>
                <w:rFonts w:hint="eastAsia" w:ascii="仿宋_GB2312" w:hAnsi="宋体" w:eastAsia="仿宋_GB2312"/>
                <w:sz w:val="24"/>
                <w:lang w:val="en-US" w:eastAsia="zh-CN"/>
              </w:rPr>
              <w:t>16</w:t>
            </w:r>
            <w:r>
              <w:rPr>
                <w:rFonts w:hint="eastAsia" w:ascii="仿宋_GB2312" w:hAnsi="宋体" w:eastAsia="仿宋_GB2312"/>
                <w:sz w:val="24"/>
              </w:rPr>
              <w:t>—C</w:t>
            </w:r>
            <w:r>
              <w:rPr>
                <w:rFonts w:hint="eastAsia" w:ascii="仿宋_GB2312" w:hAnsi="宋体" w:eastAsia="仿宋_GB2312"/>
                <w:sz w:val="24"/>
                <w:lang w:val="en-US" w:eastAsia="zh-CN"/>
              </w:rPr>
              <w:t>20</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-4</w:t>
            </w:r>
          </w:p>
        </w:tc>
        <w:tc>
          <w:tcPr>
            <w:tcW w:w="2700"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专任教师本科达标率不足</w:t>
            </w:r>
            <w:r>
              <w:rPr>
                <w:rFonts w:hint="eastAsia" w:ascii="仿宋_GB2312" w:hAnsi="宋体" w:eastAsia="仿宋_GB2312"/>
                <w:color w:val="000000"/>
                <w:sz w:val="24"/>
                <w:lang w:val="en-US" w:eastAsia="zh-CN"/>
              </w:rPr>
              <w:t>90%；</w:t>
            </w:r>
            <w:r>
              <w:rPr>
                <w:rFonts w:hint="eastAsia" w:ascii="仿宋_GB2312" w:hAnsi="仿宋" w:eastAsia="仿宋_GB2312" w:cs="仿宋_GB2312"/>
                <w:color w:val="000000"/>
                <w:sz w:val="24"/>
                <w:szCs w:val="24"/>
              </w:rPr>
              <w:t>每年新增市级五级梯队教师人数低于本校教师的</w:t>
            </w:r>
            <w:r>
              <w:rPr>
                <w:rFonts w:ascii="仿宋_GB2312" w:hAnsi="仿宋" w:eastAsia="仿宋_GB2312" w:cs="仿宋_GB2312"/>
                <w:color w:val="000000"/>
                <w:sz w:val="24"/>
                <w:szCs w:val="24"/>
              </w:rPr>
              <w:t>2%</w:t>
            </w:r>
            <w:r>
              <w:rPr>
                <w:rFonts w:hint="eastAsia" w:ascii="仿宋_GB2312" w:hAnsi="仿宋" w:eastAsia="仿宋_GB2312" w:cs="仿宋_GB2312"/>
                <w:color w:val="000000"/>
                <w:sz w:val="24"/>
                <w:szCs w:val="24"/>
                <w:lang w:eastAsia="zh-CN"/>
              </w:rPr>
              <w:t>；</w:t>
            </w:r>
            <w:r>
              <w:rPr>
                <w:rFonts w:ascii="仿宋_GB2312" w:eastAsia="仿宋_GB2312" w:cs="仿宋_GB2312"/>
                <w:color w:val="000000"/>
                <w:sz w:val="24"/>
                <w:szCs w:val="24"/>
              </w:rPr>
              <w:t>50%</w:t>
            </w:r>
            <w:r>
              <w:rPr>
                <w:rFonts w:hint="eastAsia" w:ascii="仿宋_GB2312" w:eastAsia="仿宋_GB2312" w:cs="仿宋_GB2312"/>
                <w:color w:val="000000"/>
                <w:sz w:val="24"/>
                <w:szCs w:val="24"/>
              </w:rPr>
              <w:t>以上的学科有辖市、区级以上教育科研课题或实验项目</w:t>
            </w:r>
            <w:r>
              <w:rPr>
                <w:rFonts w:hint="eastAsia" w:ascii="仿宋_GB2312" w:hAnsi="仿宋" w:eastAsia="仿宋_GB2312" w:cs="仿宋_GB2312"/>
                <w:color w:val="000000"/>
                <w:sz w:val="24"/>
                <w:szCs w:val="24"/>
                <w:lang w:eastAsia="zh-CN"/>
              </w:rPr>
              <w:t>未达</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每年有</w:t>
            </w:r>
            <w:r>
              <w:rPr>
                <w:rFonts w:ascii="仿宋_GB2312" w:eastAsia="仿宋_GB2312" w:cs="仿宋_GB2312"/>
                <w:color w:val="000000"/>
                <w:sz w:val="24"/>
                <w:szCs w:val="24"/>
              </w:rPr>
              <w:t>1</w:t>
            </w:r>
            <w:r>
              <w:rPr>
                <w:rFonts w:hint="eastAsia" w:ascii="仿宋_GB2312" w:eastAsia="仿宋_GB2312" w:cs="仿宋_GB2312"/>
                <w:color w:val="000000"/>
                <w:sz w:val="24"/>
                <w:szCs w:val="24"/>
              </w:rPr>
              <w:t>名以上教师在市、省级课堂教学或基本功竞赛中获奖</w:t>
            </w:r>
            <w:r>
              <w:rPr>
                <w:rFonts w:hint="eastAsia" w:ascii="仿宋_GB2312" w:eastAsia="仿宋_GB2312" w:cs="仿宋_GB2312"/>
                <w:color w:val="000000"/>
                <w:sz w:val="24"/>
                <w:szCs w:val="24"/>
                <w:lang w:eastAsia="zh-CN"/>
              </w:rPr>
              <w:t>未达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A5</w:t>
            </w:r>
            <w:r>
              <w:rPr>
                <w:rFonts w:hint="eastAsia" w:ascii="仿宋_GB2312" w:hAnsi="宋体" w:eastAsia="仿宋_GB2312"/>
                <w:color w:val="000000"/>
                <w:sz w:val="24"/>
                <w:lang w:eastAsia="zh-CN"/>
              </w:rPr>
              <w:t>规范办学</w:t>
            </w:r>
            <w:r>
              <w:rPr>
                <w:rFonts w:hint="eastAsia" w:ascii="仿宋_GB2312" w:hAnsi="宋体" w:eastAsia="仿宋_GB2312"/>
                <w:color w:val="000000"/>
                <w:sz w:val="24"/>
              </w:rPr>
              <w:t>(3</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0招生分班4</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C2</w:t>
            </w:r>
            <w:r>
              <w:rPr>
                <w:rFonts w:hint="eastAsia" w:ascii="仿宋_GB2312" w:hAnsi="宋体" w:eastAsia="仿宋_GB2312"/>
                <w:sz w:val="24"/>
                <w:lang w:val="en-US" w:eastAsia="zh-CN"/>
              </w:rPr>
              <w:t>1</w:t>
            </w:r>
            <w:r>
              <w:rPr>
                <w:rFonts w:hint="eastAsia" w:ascii="仿宋_GB2312" w:hAnsi="宋体" w:eastAsia="仿宋_GB2312"/>
                <w:sz w:val="24"/>
              </w:rPr>
              <w:t>—C2</w:t>
            </w:r>
            <w:r>
              <w:rPr>
                <w:rFonts w:hint="eastAsia" w:ascii="仿宋_GB2312" w:hAnsi="宋体" w:eastAsia="仿宋_GB2312"/>
                <w:sz w:val="24"/>
                <w:lang w:val="en-US" w:eastAsia="zh-CN"/>
              </w:rPr>
              <w:t>2</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right w:val="single" w:color="auto" w:sz="4" w:space="0"/>
            </w:tcBorders>
            <w:vAlign w:val="center"/>
          </w:tcPr>
          <w:p>
            <w:pPr>
              <w:spacing w:line="260" w:lineRule="exact"/>
              <w:jc w:val="both"/>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800" w:type="dxa"/>
            <w:vMerge w:val="continue"/>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1课程建设5</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C2</w:t>
            </w:r>
            <w:r>
              <w:rPr>
                <w:rFonts w:hint="eastAsia" w:ascii="仿宋_GB2312" w:hAnsi="宋体" w:eastAsia="仿宋_GB2312"/>
                <w:sz w:val="24"/>
                <w:lang w:val="en-US" w:eastAsia="zh-CN"/>
              </w:rPr>
              <w:t>3</w:t>
            </w:r>
            <w:r>
              <w:rPr>
                <w:rFonts w:hint="eastAsia" w:ascii="仿宋_GB2312" w:hAnsi="宋体" w:eastAsia="仿宋_GB2312"/>
                <w:sz w:val="24"/>
              </w:rPr>
              <w:t>—C</w:t>
            </w:r>
            <w:r>
              <w:rPr>
                <w:rFonts w:hint="eastAsia" w:ascii="仿宋_GB2312" w:hAnsi="宋体" w:eastAsia="仿宋_GB2312"/>
                <w:sz w:val="24"/>
                <w:lang w:val="en-US" w:eastAsia="zh-CN"/>
              </w:rPr>
              <w:t>24</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p>
        </w:tc>
        <w:tc>
          <w:tcPr>
            <w:tcW w:w="2700" w:type="dxa"/>
            <w:tcBorders>
              <w:top w:val="single" w:color="auto" w:sz="4" w:space="0"/>
              <w:left w:val="single" w:color="auto" w:sz="4" w:space="0"/>
              <w:right w:val="single" w:color="auto" w:sz="4" w:space="0"/>
            </w:tcBorders>
            <w:vAlign w:val="center"/>
          </w:tcPr>
          <w:p>
            <w:pPr>
              <w:spacing w:line="260" w:lineRule="exact"/>
              <w:jc w:val="both"/>
              <w:rPr>
                <w:rFonts w:hint="eastAsia" w:ascii="仿宋_GB2312" w:hAnsi="宋体" w:eastAsia="仿宋_GB2312"/>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B12身心健康7分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C2</w:t>
            </w:r>
            <w:r>
              <w:rPr>
                <w:rFonts w:hint="eastAsia" w:ascii="仿宋_GB2312" w:hAnsi="宋体" w:eastAsia="仿宋_GB2312"/>
                <w:sz w:val="24"/>
                <w:lang w:val="en-US" w:eastAsia="zh-CN"/>
              </w:rPr>
              <w:t>5</w:t>
            </w:r>
            <w:r>
              <w:rPr>
                <w:rFonts w:hint="eastAsia" w:ascii="仿宋_GB2312" w:hAnsi="宋体" w:eastAsia="仿宋_GB2312"/>
                <w:sz w:val="24"/>
              </w:rPr>
              <w:t>—C</w:t>
            </w:r>
            <w:r>
              <w:rPr>
                <w:rFonts w:hint="eastAsia" w:ascii="仿宋_GB2312" w:hAnsi="宋体" w:eastAsia="仿宋_GB2312"/>
                <w:sz w:val="24"/>
                <w:lang w:val="en-US" w:eastAsia="zh-CN"/>
              </w:rPr>
              <w:t>28</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right w:val="single" w:color="auto" w:sz="4" w:space="0"/>
            </w:tcBorders>
            <w:vAlign w:val="center"/>
          </w:tcPr>
          <w:p>
            <w:pPr>
              <w:spacing w:line="260" w:lineRule="exact"/>
              <w:jc w:val="both"/>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B13作息时间5分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C2</w:t>
            </w:r>
            <w:r>
              <w:rPr>
                <w:rFonts w:hint="eastAsia" w:ascii="仿宋_GB2312" w:hAnsi="宋体" w:eastAsia="仿宋_GB2312"/>
                <w:sz w:val="24"/>
                <w:lang w:val="en-US" w:eastAsia="zh-CN"/>
              </w:rPr>
              <w:t>9</w:t>
            </w:r>
            <w:r>
              <w:rPr>
                <w:rFonts w:hint="eastAsia" w:ascii="仿宋_GB2312" w:hAnsi="宋体" w:eastAsia="仿宋_GB2312"/>
                <w:sz w:val="24"/>
              </w:rPr>
              <w:t>—C</w:t>
            </w:r>
            <w:r>
              <w:rPr>
                <w:rFonts w:hint="eastAsia" w:ascii="仿宋_GB2312" w:hAnsi="宋体" w:eastAsia="仿宋_GB2312"/>
                <w:sz w:val="24"/>
                <w:lang w:val="en-US" w:eastAsia="zh-CN"/>
              </w:rPr>
              <w:t>30</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right w:val="single" w:color="auto" w:sz="4" w:space="0"/>
            </w:tcBorders>
            <w:vAlign w:val="center"/>
          </w:tcPr>
          <w:p>
            <w:pPr>
              <w:spacing w:line="260" w:lineRule="exact"/>
              <w:jc w:val="both"/>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B14作业考试12分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w:t>
            </w:r>
            <w:r>
              <w:rPr>
                <w:rFonts w:hint="eastAsia" w:ascii="仿宋_GB2312" w:hAnsi="宋体" w:eastAsia="仿宋_GB2312"/>
                <w:sz w:val="24"/>
                <w:lang w:val="en-US" w:eastAsia="zh-CN"/>
              </w:rPr>
              <w:t>31</w:t>
            </w:r>
            <w:r>
              <w:rPr>
                <w:rFonts w:hint="eastAsia" w:ascii="仿宋_GB2312" w:hAnsi="宋体" w:eastAsia="仿宋_GB2312"/>
                <w:sz w:val="24"/>
              </w:rPr>
              <w:t>—C</w:t>
            </w:r>
            <w:r>
              <w:rPr>
                <w:rFonts w:hint="eastAsia" w:ascii="仿宋_GB2312" w:hAnsi="宋体" w:eastAsia="仿宋_GB2312"/>
                <w:sz w:val="24"/>
                <w:lang w:val="en-US" w:eastAsia="zh-CN"/>
              </w:rPr>
              <w:t>34</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right w:val="single" w:color="auto" w:sz="4" w:space="0"/>
            </w:tcBorders>
            <w:vAlign w:val="center"/>
          </w:tcPr>
          <w:p>
            <w:pPr>
              <w:spacing w:line="260" w:lineRule="exact"/>
              <w:jc w:val="both"/>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B15教育收费2分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C</w:t>
            </w:r>
            <w:r>
              <w:rPr>
                <w:rFonts w:hint="eastAsia" w:ascii="仿宋_GB2312" w:hAnsi="宋体" w:eastAsia="仿宋_GB2312"/>
                <w:sz w:val="24"/>
                <w:lang w:val="en-US" w:eastAsia="zh-CN"/>
              </w:rPr>
              <w:t>35</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right w:val="single" w:color="auto" w:sz="4" w:space="0"/>
            </w:tcBorders>
            <w:vAlign w:val="center"/>
          </w:tcPr>
          <w:p>
            <w:pPr>
              <w:spacing w:line="260" w:lineRule="exact"/>
              <w:jc w:val="both"/>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A6</w:t>
            </w:r>
            <w:r>
              <w:rPr>
                <w:rFonts w:hint="eastAsia" w:ascii="仿宋_GB2312" w:hAnsi="宋体" w:eastAsia="仿宋_GB2312"/>
                <w:color w:val="000000"/>
                <w:sz w:val="24"/>
                <w:lang w:eastAsia="zh-CN"/>
              </w:rPr>
              <w:t>德育与活动</w:t>
            </w: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lang w:eastAsia="zh-CN"/>
              </w:rPr>
              <w:t>德育工作</w:t>
            </w: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C3</w:t>
            </w:r>
            <w:r>
              <w:rPr>
                <w:rFonts w:hint="eastAsia" w:ascii="仿宋_GB2312" w:hAnsi="宋体" w:eastAsia="仿宋_GB2312"/>
                <w:sz w:val="24"/>
                <w:lang w:val="en-US" w:eastAsia="zh-CN"/>
              </w:rPr>
              <w:t>6</w:t>
            </w:r>
            <w:r>
              <w:rPr>
                <w:rFonts w:hint="eastAsia" w:ascii="仿宋_GB2312" w:hAnsi="宋体" w:eastAsia="仿宋_GB2312"/>
                <w:sz w:val="24"/>
              </w:rPr>
              <w:t>—C3</w:t>
            </w:r>
            <w:r>
              <w:rPr>
                <w:rFonts w:hint="eastAsia" w:ascii="仿宋_GB2312" w:hAnsi="宋体" w:eastAsia="仿宋_GB2312"/>
                <w:sz w:val="24"/>
                <w:lang w:val="en-US" w:eastAsia="zh-CN"/>
              </w:rPr>
              <w:t>8</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德育队伍专业化建设举措需完善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7</w:t>
            </w:r>
            <w:r>
              <w:rPr>
                <w:rFonts w:hint="eastAsia" w:ascii="仿宋_GB2312" w:hAnsi="宋体" w:eastAsia="仿宋_GB2312"/>
                <w:color w:val="000000"/>
                <w:sz w:val="24"/>
                <w:lang w:eastAsia="zh-CN"/>
              </w:rPr>
              <w:t>各项活动</w:t>
            </w:r>
            <w:r>
              <w:rPr>
                <w:rFonts w:hint="eastAsia" w:ascii="仿宋_GB2312" w:hAnsi="宋体" w:eastAsia="仿宋_GB2312"/>
                <w:color w:val="000000"/>
                <w:sz w:val="24"/>
              </w:rPr>
              <w:t>10分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C3</w:t>
            </w:r>
            <w:r>
              <w:rPr>
                <w:rFonts w:hint="eastAsia" w:ascii="仿宋_GB2312" w:hAnsi="宋体" w:eastAsia="仿宋_GB2312"/>
                <w:sz w:val="24"/>
                <w:lang w:val="en-US" w:eastAsia="zh-CN"/>
              </w:rPr>
              <w:t>9</w:t>
            </w:r>
            <w:r>
              <w:rPr>
                <w:rFonts w:hint="eastAsia" w:ascii="仿宋_GB2312" w:hAnsi="宋体" w:eastAsia="仿宋_GB2312"/>
                <w:sz w:val="24"/>
              </w:rPr>
              <w:t>—C</w:t>
            </w:r>
            <w:r>
              <w:rPr>
                <w:rFonts w:hint="eastAsia" w:ascii="仿宋_GB2312" w:hAnsi="宋体" w:eastAsia="仿宋_GB2312"/>
                <w:sz w:val="24"/>
                <w:lang w:val="en-US" w:eastAsia="zh-CN"/>
              </w:rPr>
              <w:t>40</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80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A7</w:t>
            </w:r>
            <w:r>
              <w:rPr>
                <w:rFonts w:hint="eastAsia" w:ascii="仿宋_GB2312" w:hAnsi="宋体" w:eastAsia="仿宋_GB2312"/>
                <w:color w:val="000000"/>
                <w:sz w:val="24"/>
                <w:lang w:eastAsia="zh-CN"/>
              </w:rPr>
              <w:t>课堂教学</w:t>
            </w:r>
            <w:r>
              <w:rPr>
                <w:rFonts w:hint="eastAsia" w:ascii="仿宋_GB2312" w:hAnsi="宋体" w:eastAsia="仿宋_GB2312"/>
                <w:color w:val="000000"/>
                <w:sz w:val="24"/>
              </w:rPr>
              <w:t>（3</w:t>
            </w:r>
            <w:r>
              <w:rPr>
                <w:rFonts w:hint="eastAsia" w:ascii="仿宋_GB2312" w:hAnsi="宋体" w:eastAsia="仿宋_GB2312"/>
                <w:color w:val="000000"/>
                <w:sz w:val="24"/>
                <w:lang w:val="en-US" w:eastAsia="zh-CN"/>
              </w:rPr>
              <w:t>0</w:t>
            </w:r>
            <w:r>
              <w:rPr>
                <w:rFonts w:hint="eastAsia" w:ascii="仿宋_GB2312" w:hAnsi="宋体" w:eastAsia="仿宋_GB2312"/>
                <w:color w:val="000000"/>
                <w:sz w:val="24"/>
              </w:rPr>
              <w:t>分）</w:t>
            </w:r>
          </w:p>
        </w:tc>
        <w:tc>
          <w:tcPr>
            <w:tcW w:w="234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8</w:t>
            </w:r>
            <w:r>
              <w:rPr>
                <w:rFonts w:hint="eastAsia" w:ascii="仿宋_GB2312" w:hAnsi="宋体" w:eastAsia="仿宋_GB2312"/>
                <w:color w:val="000000"/>
                <w:sz w:val="24"/>
                <w:lang w:eastAsia="zh-CN"/>
              </w:rPr>
              <w:t>教学常规</w:t>
            </w:r>
            <w:r>
              <w:rPr>
                <w:rFonts w:hint="eastAsia" w:ascii="仿宋_GB2312" w:hAnsi="宋体" w:eastAsia="仿宋_GB2312"/>
                <w:color w:val="000000"/>
                <w:sz w:val="24"/>
                <w:lang w:val="en-US" w:eastAsia="zh-CN"/>
              </w:rPr>
              <w:t>12</w:t>
            </w:r>
            <w:r>
              <w:rPr>
                <w:rFonts w:hint="eastAsia" w:ascii="仿宋_GB2312" w:hAnsi="宋体" w:eastAsia="仿宋_GB2312"/>
                <w:color w:val="000000"/>
                <w:sz w:val="24"/>
              </w:rPr>
              <w:t>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w:t>
            </w:r>
            <w:r>
              <w:rPr>
                <w:rFonts w:hint="eastAsia" w:ascii="仿宋_GB2312" w:hAnsi="宋体" w:eastAsia="仿宋_GB2312"/>
                <w:sz w:val="24"/>
                <w:lang w:val="en-US" w:eastAsia="zh-CN"/>
              </w:rPr>
              <w:t>41</w:t>
            </w:r>
            <w:r>
              <w:rPr>
                <w:rFonts w:hint="eastAsia" w:ascii="仿宋_GB2312" w:hAnsi="宋体" w:eastAsia="仿宋_GB2312"/>
                <w:sz w:val="24"/>
              </w:rPr>
              <w:t>—C</w:t>
            </w:r>
            <w:r>
              <w:rPr>
                <w:rFonts w:hint="eastAsia" w:ascii="仿宋_GB2312" w:hAnsi="宋体" w:eastAsia="仿宋_GB2312"/>
                <w:sz w:val="24"/>
                <w:lang w:val="en-US" w:eastAsia="zh-CN"/>
              </w:rPr>
              <w:t>42</w:t>
            </w:r>
          </w:p>
        </w:tc>
        <w:tc>
          <w:tcPr>
            <w:tcW w:w="72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700"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教学改革需更规范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B1</w:t>
            </w:r>
            <w:r>
              <w:rPr>
                <w:rFonts w:hint="eastAsia" w:ascii="仿宋_GB2312" w:hAnsi="宋体" w:eastAsia="仿宋_GB2312"/>
                <w:color w:val="000000"/>
                <w:sz w:val="24"/>
                <w:lang w:val="en-US" w:eastAsia="zh-CN"/>
              </w:rPr>
              <w:t>9</w:t>
            </w:r>
            <w:r>
              <w:rPr>
                <w:rFonts w:hint="eastAsia" w:ascii="仿宋_GB2312" w:hAnsi="宋体" w:eastAsia="仿宋_GB2312"/>
                <w:color w:val="000000"/>
                <w:sz w:val="24"/>
                <w:lang w:eastAsia="zh-CN"/>
              </w:rPr>
              <w:t>教学改革</w:t>
            </w:r>
            <w:r>
              <w:rPr>
                <w:rFonts w:hint="eastAsia" w:ascii="仿宋_GB2312" w:hAnsi="宋体" w:eastAsia="仿宋_GB2312"/>
                <w:color w:val="000000"/>
                <w:sz w:val="24"/>
                <w:lang w:val="en-US" w:eastAsia="zh-CN"/>
              </w:rPr>
              <w:t>18</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w:t>
            </w:r>
            <w:r>
              <w:rPr>
                <w:rFonts w:hint="eastAsia" w:ascii="仿宋_GB2312" w:hAnsi="宋体" w:eastAsia="仿宋_GB2312"/>
                <w:sz w:val="24"/>
                <w:lang w:val="en-US" w:eastAsia="zh-CN"/>
              </w:rPr>
              <w:t>43</w:t>
            </w:r>
            <w:r>
              <w:rPr>
                <w:rFonts w:hint="eastAsia" w:ascii="仿宋_GB2312" w:hAnsi="宋体" w:eastAsia="仿宋_GB2312"/>
                <w:sz w:val="24"/>
              </w:rPr>
              <w:t>—C4</w:t>
            </w:r>
            <w:r>
              <w:rPr>
                <w:rFonts w:hint="eastAsia" w:ascii="仿宋_GB2312" w:hAnsi="宋体" w:eastAsia="仿宋_GB2312"/>
                <w:sz w:val="24"/>
                <w:lang w:val="en-US" w:eastAsia="zh-CN"/>
              </w:rPr>
              <w:t>5</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教学改革需要不断深化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800"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A8办学</w:t>
            </w:r>
            <w:r>
              <w:rPr>
                <w:rFonts w:hint="eastAsia" w:ascii="仿宋_GB2312" w:hAnsi="宋体" w:eastAsia="仿宋_GB2312"/>
                <w:color w:val="000000"/>
                <w:sz w:val="24"/>
                <w:lang w:eastAsia="zh-CN"/>
              </w:rPr>
              <w:t>成效</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5分）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B20</w:t>
            </w:r>
            <w:r>
              <w:rPr>
                <w:rFonts w:hint="eastAsia" w:ascii="仿宋_GB2312" w:hAnsi="宋体" w:eastAsia="仿宋_GB2312"/>
                <w:color w:val="000000"/>
                <w:sz w:val="24"/>
                <w:lang w:eastAsia="zh-CN"/>
              </w:rPr>
              <w:t>学生素养</w:t>
            </w:r>
            <w:r>
              <w:rPr>
                <w:rFonts w:hint="eastAsia" w:ascii="仿宋_GB2312" w:hAnsi="宋体" w:eastAsia="仿宋_GB2312"/>
                <w:color w:val="000000"/>
                <w:sz w:val="24"/>
                <w:lang w:val="en-US" w:eastAsia="zh-CN"/>
              </w:rPr>
              <w:t>15</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C4</w:t>
            </w:r>
            <w:r>
              <w:rPr>
                <w:rFonts w:hint="eastAsia" w:ascii="仿宋_GB2312" w:hAnsi="宋体" w:eastAsia="仿宋_GB2312"/>
                <w:sz w:val="24"/>
                <w:lang w:val="en-US" w:eastAsia="zh-CN"/>
              </w:rPr>
              <w:t>6</w:t>
            </w:r>
            <w:r>
              <w:rPr>
                <w:rFonts w:hint="eastAsia" w:ascii="仿宋_GB2312" w:hAnsi="宋体" w:eastAsia="仿宋_GB2312"/>
                <w:sz w:val="24"/>
              </w:rPr>
              <w:t>—C4</w:t>
            </w:r>
            <w:r>
              <w:rPr>
                <w:rFonts w:hint="eastAsia" w:ascii="仿宋_GB2312" w:hAnsi="宋体" w:eastAsia="仿宋_GB2312"/>
                <w:sz w:val="24"/>
                <w:lang w:val="en-US" w:eastAsia="zh-CN"/>
              </w:rPr>
              <w:t>8</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00"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B21</w:t>
            </w:r>
            <w:r>
              <w:rPr>
                <w:rFonts w:hint="eastAsia" w:ascii="仿宋_GB2312" w:hAnsi="宋体" w:eastAsia="仿宋_GB2312"/>
                <w:color w:val="000000"/>
                <w:sz w:val="24"/>
                <w:lang w:eastAsia="zh-CN"/>
              </w:rPr>
              <w:t>特色声誉</w:t>
            </w:r>
            <w:r>
              <w:rPr>
                <w:rFonts w:hint="eastAsia" w:ascii="仿宋_GB2312" w:hAnsi="宋体" w:eastAsia="仿宋_GB2312"/>
                <w:color w:val="000000"/>
                <w:sz w:val="24"/>
                <w:lang w:val="en-US" w:eastAsia="zh-CN"/>
              </w:rPr>
              <w:t>10</w:t>
            </w:r>
            <w:r>
              <w:rPr>
                <w:rFonts w:hint="eastAsia" w:ascii="仿宋_GB2312" w:hAnsi="宋体" w:eastAsia="仿宋_GB2312"/>
                <w:color w:val="000000"/>
                <w:sz w:val="24"/>
              </w:rPr>
              <w:t>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rPr>
            </w:pPr>
            <w:r>
              <w:rPr>
                <w:rFonts w:hint="eastAsia" w:ascii="仿宋_GB2312" w:hAnsi="宋体" w:eastAsia="仿宋_GB2312"/>
                <w:sz w:val="24"/>
              </w:rPr>
              <w:t>C4</w:t>
            </w:r>
            <w:r>
              <w:rPr>
                <w:rFonts w:hint="eastAsia" w:ascii="仿宋_GB2312" w:hAnsi="宋体" w:eastAsia="仿宋_GB2312"/>
                <w:sz w:val="24"/>
                <w:lang w:val="en-US" w:eastAsia="zh-CN"/>
              </w:rPr>
              <w:t>9</w:t>
            </w:r>
            <w:r>
              <w:rPr>
                <w:rFonts w:hint="eastAsia" w:ascii="仿宋_GB2312" w:hAnsi="宋体" w:eastAsia="仿宋_GB2312"/>
                <w:sz w:val="24"/>
              </w:rPr>
              <w:t>—C</w:t>
            </w:r>
            <w:r>
              <w:rPr>
                <w:rFonts w:hint="eastAsia" w:ascii="仿宋_GB2312" w:hAnsi="宋体" w:eastAsia="仿宋_GB2312"/>
                <w:sz w:val="24"/>
                <w:lang w:val="en-US" w:eastAsia="zh-CN"/>
              </w:rPr>
              <w:t>50</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lang w:eastAsia="zh-CN"/>
              </w:rPr>
            </w:pPr>
            <w:r>
              <w:rPr>
                <w:rFonts w:hint="eastAsia" w:ascii="仿宋_GB2312" w:eastAsia="仿宋_GB2312" w:cs="仿宋_GB2312"/>
                <w:color w:val="000000"/>
                <w:sz w:val="24"/>
                <w:szCs w:val="24"/>
                <w:lang w:eastAsia="zh-CN"/>
              </w:rPr>
              <w:t>缺</w:t>
            </w:r>
            <w:r>
              <w:rPr>
                <w:rFonts w:hint="eastAsia" w:ascii="仿宋_GB2312" w:eastAsia="仿宋_GB2312" w:cs="仿宋_GB2312"/>
                <w:color w:val="000000"/>
                <w:sz w:val="24"/>
                <w:szCs w:val="24"/>
              </w:rPr>
              <w:t>课程基地</w:t>
            </w:r>
            <w:r>
              <w:rPr>
                <w:rFonts w:hint="eastAsia" w:ascii="仿宋_GB2312" w:eastAsia="仿宋_GB2312" w:cs="仿宋_GB2312"/>
                <w:color w:val="000000"/>
                <w:sz w:val="24"/>
                <w:szCs w:val="24"/>
                <w:lang w:eastAsia="zh-CN"/>
              </w:rPr>
              <w:t>和</w:t>
            </w:r>
            <w:r>
              <w:rPr>
                <w:rFonts w:hint="eastAsia" w:ascii="仿宋_GB2312" w:eastAsia="仿宋_GB2312" w:cs="仿宋_GB2312"/>
                <w:color w:val="000000"/>
                <w:sz w:val="24"/>
                <w:szCs w:val="24"/>
              </w:rPr>
              <w:t>教改前瞻性项目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1800" w:type="dxa"/>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b/>
                <w:color w:val="000000"/>
                <w:sz w:val="24"/>
              </w:rPr>
            </w:pPr>
            <w:r>
              <w:rPr>
                <w:rFonts w:hint="eastAsia" w:ascii="仿宋_GB2312" w:hAnsi="宋体" w:eastAsia="仿宋_GB2312"/>
                <w:b/>
                <w:color w:val="000000"/>
                <w:sz w:val="24"/>
              </w:rPr>
              <w:t>合计</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 xml:space="preserve">      </w:t>
            </w:r>
            <w:r>
              <w:rPr>
                <w:rFonts w:hint="eastAsia" w:ascii="仿宋_GB2312" w:hAnsi="宋体" w:eastAsia="仿宋_GB2312"/>
                <w:color w:val="000000"/>
                <w:sz w:val="24"/>
                <w:lang w:val="en-US" w:eastAsia="zh-CN"/>
              </w:rPr>
              <w:t>180</w:t>
            </w:r>
            <w:r>
              <w:rPr>
                <w:rFonts w:hint="eastAsia" w:ascii="仿宋_GB2312" w:hAnsi="宋体" w:eastAsia="仿宋_GB2312"/>
                <w:color w:val="000000"/>
                <w:sz w:val="24"/>
              </w:rPr>
              <w:t xml:space="preserve"> 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50条</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b/>
                <w:color w:val="000000"/>
                <w:sz w:val="24"/>
              </w:rPr>
              <w:t>评估得分：</w:t>
            </w:r>
            <w:r>
              <w:rPr>
                <w:rFonts w:hint="eastAsia" w:ascii="仿宋_GB2312" w:hAnsi="宋体" w:eastAsia="仿宋_GB2312"/>
                <w:color w:val="000000"/>
                <w:sz w:val="24"/>
              </w:rPr>
              <w:t xml:space="preserve"> </w:t>
            </w:r>
            <w:r>
              <w:rPr>
                <w:rFonts w:hint="eastAsia" w:ascii="仿宋_GB2312" w:hAnsi="宋体" w:eastAsia="仿宋_GB2312"/>
                <w:color w:val="000000"/>
                <w:sz w:val="24"/>
                <w:lang w:val="en-US" w:eastAsia="zh-CN"/>
              </w:rPr>
              <w:t>168</w:t>
            </w:r>
            <w:r>
              <w:rPr>
                <w:rFonts w:hint="eastAsia" w:ascii="仿宋_GB2312" w:hAnsi="宋体" w:eastAsia="仿宋_GB2312"/>
                <w:color w:val="000000"/>
                <w:sz w:val="24"/>
              </w:rPr>
              <w:t xml:space="preserve">  分</w:t>
            </w:r>
          </w:p>
        </w:tc>
      </w:tr>
    </w:tbl>
    <w:p>
      <w:pPr>
        <w:jc w:val="center"/>
        <w:rPr>
          <w:rFonts w:hint="eastAsia"/>
          <w:b/>
          <w:sz w:val="28"/>
          <w:szCs w:val="28"/>
          <w:u w:val="single"/>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67331"/>
    <w:rsid w:val="040A04F3"/>
    <w:rsid w:val="0D7C43EE"/>
    <w:rsid w:val="0E267331"/>
    <w:rsid w:val="170826AB"/>
    <w:rsid w:val="1715260D"/>
    <w:rsid w:val="243905DE"/>
    <w:rsid w:val="2E772A65"/>
    <w:rsid w:val="348544CF"/>
    <w:rsid w:val="387263E7"/>
    <w:rsid w:val="3AFF41DC"/>
    <w:rsid w:val="3D1F097B"/>
    <w:rsid w:val="48B5443B"/>
    <w:rsid w:val="4A0F05CA"/>
    <w:rsid w:val="4AB51BC9"/>
    <w:rsid w:val="4B3450A2"/>
    <w:rsid w:val="4B894BE4"/>
    <w:rsid w:val="4C242E64"/>
    <w:rsid w:val="56511612"/>
    <w:rsid w:val="648C0084"/>
    <w:rsid w:val="6FC60883"/>
    <w:rsid w:val="78A312BB"/>
    <w:rsid w:val="7AD51F34"/>
    <w:rsid w:val="7FB164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2017-06-13T05:46:00Z</dcterms:created>
  <dc:creator>Administrator</dc:creator>
  <cp:lastModifiedBy>刘红</cp:lastModifiedBy>
  <cp:lastPrinted>2017-06-21T00:43:00Z</cp:lastPrinted>
  <dcterms:modified xsi:type="dcterms:W3CDTF">2018-01-13T02:53:54Z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