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84"/>
          <w:szCs w:val="84"/>
        </w:rPr>
      </w:pPr>
    </w:p>
    <w:p>
      <w:pPr>
        <w:jc w:val="center"/>
        <w:rPr>
          <w:rFonts w:ascii="华文中宋" w:hAnsi="华文中宋" w:eastAsia="华文中宋"/>
          <w:b/>
          <w:sz w:val="84"/>
          <w:szCs w:val="84"/>
        </w:rPr>
      </w:pPr>
      <w:r>
        <w:rPr>
          <w:rFonts w:hint="eastAsia" w:ascii="华文中宋" w:hAnsi="华文中宋" w:eastAsia="华文中宋"/>
          <w:b/>
          <w:sz w:val="84"/>
          <w:szCs w:val="84"/>
        </w:rPr>
        <w:t>评 估 报 告 书</w:t>
      </w:r>
    </w:p>
    <w:p>
      <w:pPr>
        <w:rPr>
          <w:rFonts w:hint="eastAsia"/>
        </w:rPr>
      </w:pPr>
    </w:p>
    <w:p/>
    <w:p/>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6068" w:type="dxa"/>
        <w:tblInd w:w="126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60"/>
        <w:gridCol w:w="208"/>
        <w:gridCol w:w="44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评估项目</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nil"/>
              <w:left w:val="nil"/>
              <w:bottom w:val="single" w:color="auto" w:sz="4" w:space="0"/>
              <w:right w:val="nil"/>
            </w:tcBorders>
            <w:vAlign w:val="bottom"/>
          </w:tcPr>
          <w:p>
            <w:pPr>
              <w:spacing w:line="360" w:lineRule="exact"/>
              <w:jc w:val="center"/>
              <w:rPr>
                <w:rFonts w:hint="eastAsia" w:ascii="黑体" w:eastAsia="黑体"/>
                <w:sz w:val="32"/>
                <w:szCs w:val="32"/>
              </w:rPr>
            </w:pPr>
            <w:r>
              <w:rPr>
                <w:rFonts w:hint="eastAsia" w:ascii="黑体" w:eastAsia="黑体"/>
                <w:sz w:val="32"/>
                <w:szCs w:val="32"/>
                <w:lang w:eastAsia="zh-CN"/>
              </w:rPr>
              <w:t>素质教育</w:t>
            </w:r>
            <w:r>
              <w:rPr>
                <w:rFonts w:hint="eastAsia" w:ascii="黑体" w:eastAsia="黑体"/>
                <w:sz w:val="32"/>
                <w:szCs w:val="32"/>
              </w:rPr>
              <w:t>督导评估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被评学校</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hAnsi="ˎ̥" w:eastAsia="黑体" w:cs="宋体"/>
                <w:color w:val="000000"/>
                <w:kern w:val="0"/>
                <w:sz w:val="32"/>
                <w:szCs w:val="32"/>
              </w:rPr>
            </w:pPr>
            <w:r>
              <w:rPr>
                <w:rFonts w:hint="eastAsia" w:ascii="黑体" w:hAnsi="ˎ̥" w:eastAsia="黑体" w:cs="宋体"/>
                <w:color w:val="000000"/>
                <w:kern w:val="0"/>
                <w:sz w:val="32"/>
                <w:szCs w:val="32"/>
                <w:lang w:eastAsia="zh-CN"/>
              </w:rPr>
              <w:t>常州市延陵小学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评估时间</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eastAsia="黑体"/>
                <w:sz w:val="30"/>
                <w:szCs w:val="30"/>
              </w:rPr>
            </w:pPr>
            <w:r>
              <w:rPr>
                <w:rFonts w:hint="eastAsia" w:ascii="黑体" w:eastAsia="黑体"/>
                <w:sz w:val="30"/>
                <w:szCs w:val="30"/>
              </w:rPr>
              <w:t>201</w:t>
            </w:r>
            <w:r>
              <w:rPr>
                <w:rFonts w:hint="eastAsia" w:ascii="黑体" w:eastAsia="黑体"/>
                <w:sz w:val="30"/>
                <w:szCs w:val="30"/>
                <w:lang w:val="en-US" w:eastAsia="zh-CN"/>
              </w:rPr>
              <w:t>7</w:t>
            </w:r>
            <w:r>
              <w:rPr>
                <w:rFonts w:hint="eastAsia" w:ascii="黑体" w:eastAsia="黑体"/>
                <w:sz w:val="30"/>
                <w:szCs w:val="30"/>
              </w:rPr>
              <w:t>年</w:t>
            </w:r>
            <w:r>
              <w:rPr>
                <w:rFonts w:hint="eastAsia" w:ascii="黑体" w:eastAsia="黑体"/>
                <w:sz w:val="30"/>
                <w:szCs w:val="30"/>
                <w:lang w:val="en-US" w:eastAsia="zh-CN"/>
              </w:rPr>
              <w:t>5</w:t>
            </w:r>
            <w:r>
              <w:rPr>
                <w:rFonts w:hint="eastAsia" w:ascii="黑体" w:eastAsia="黑体"/>
                <w:sz w:val="30"/>
                <w:szCs w:val="30"/>
              </w:rPr>
              <w:t>月</w:t>
            </w:r>
            <w:r>
              <w:rPr>
                <w:rFonts w:hint="eastAsia" w:ascii="黑体" w:eastAsia="黑体"/>
                <w:sz w:val="30"/>
                <w:szCs w:val="30"/>
                <w:lang w:val="en-US" w:eastAsia="zh-CN"/>
              </w:rPr>
              <w:t>17</w:t>
            </w:r>
            <w:r>
              <w:rPr>
                <w:rFonts w:hint="eastAsia" w:ascii="黑体" w:eastAsia="黑体"/>
                <w:sz w:val="30"/>
                <w:szCs w:val="30"/>
              </w:rPr>
              <w:t>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trPr>
        <w:tc>
          <w:tcPr>
            <w:tcW w:w="1460" w:type="dxa"/>
            <w:tcBorders>
              <w:top w:val="nil"/>
              <w:left w:val="nil"/>
              <w:bottom w:val="nil"/>
              <w:right w:val="nil"/>
            </w:tcBorders>
            <w:vAlign w:val="bottom"/>
          </w:tcPr>
          <w:p>
            <w:pPr>
              <w:spacing w:line="360" w:lineRule="exact"/>
              <w:jc w:val="center"/>
              <w:rPr>
                <w:rFonts w:hint="eastAsia" w:ascii="黑体" w:hAnsi="华文中宋" w:eastAsia="黑体"/>
                <w:sz w:val="32"/>
                <w:szCs w:val="32"/>
              </w:rPr>
            </w:pPr>
            <w:r>
              <w:rPr>
                <w:rFonts w:hint="eastAsia" w:ascii="黑体" w:hAnsi="华文中宋" w:eastAsia="黑体"/>
                <w:sz w:val="32"/>
                <w:szCs w:val="32"/>
              </w:rPr>
              <w:t>联系电话</w:t>
            </w:r>
          </w:p>
        </w:tc>
        <w:tc>
          <w:tcPr>
            <w:tcW w:w="208" w:type="dxa"/>
            <w:tcBorders>
              <w:top w:val="nil"/>
              <w:left w:val="nil"/>
              <w:bottom w:val="nil"/>
              <w:right w:val="nil"/>
            </w:tcBorders>
            <w:vAlign w:val="bottom"/>
          </w:tcPr>
          <w:p>
            <w:pPr>
              <w:spacing w:line="360" w:lineRule="exact"/>
              <w:jc w:val="center"/>
              <w:rPr>
                <w:rFonts w:ascii="华文中宋" w:hAnsi="华文中宋" w:eastAsia="华文中宋"/>
                <w:sz w:val="28"/>
                <w:szCs w:val="28"/>
              </w:rPr>
            </w:pPr>
            <w:r>
              <w:rPr>
                <w:rFonts w:hint="eastAsia" w:ascii="华文中宋" w:hAnsi="华文中宋" w:eastAsia="华文中宋"/>
                <w:sz w:val="28"/>
                <w:szCs w:val="28"/>
              </w:rPr>
              <w:t>：</w:t>
            </w:r>
          </w:p>
        </w:tc>
        <w:tc>
          <w:tcPr>
            <w:tcW w:w="4400" w:type="dxa"/>
            <w:tcBorders>
              <w:top w:val="single" w:color="auto" w:sz="4" w:space="0"/>
              <w:left w:val="nil"/>
              <w:bottom w:val="single" w:color="auto" w:sz="4" w:space="0"/>
              <w:right w:val="nil"/>
            </w:tcBorders>
            <w:vAlign w:val="bottom"/>
          </w:tcPr>
          <w:p>
            <w:pPr>
              <w:spacing w:line="360" w:lineRule="exact"/>
              <w:jc w:val="center"/>
              <w:rPr>
                <w:rFonts w:hint="eastAsia" w:ascii="黑体" w:eastAsia="黑体"/>
                <w:sz w:val="30"/>
                <w:szCs w:val="30"/>
                <w:lang w:eastAsia="zh-CN"/>
              </w:rPr>
            </w:pPr>
            <w:r>
              <w:rPr>
                <w:rFonts w:hint="eastAsia" w:ascii="黑体" w:eastAsia="黑体"/>
                <w:sz w:val="30"/>
                <w:szCs w:val="30"/>
                <w:lang w:val="en-US" w:eastAsia="zh-CN"/>
              </w:rPr>
              <w:t>69660627</w:t>
            </w:r>
          </w:p>
        </w:tc>
      </w:tr>
    </w:tbl>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r>
        <w:rPr>
          <w:rFonts w:hint="eastAsia"/>
          <w:b/>
          <w:sz w:val="44"/>
          <w:szCs w:val="44"/>
        </w:rPr>
        <w:t>天宁区教育督导室</w:t>
      </w:r>
    </w:p>
    <w:p>
      <w:pPr>
        <w:jc w:val="center"/>
        <w:rPr>
          <w:rFonts w:hint="eastAsia"/>
          <w:b/>
          <w:sz w:val="44"/>
          <w:szCs w:val="44"/>
        </w:rPr>
      </w:pPr>
    </w:p>
    <w:p>
      <w:pPr>
        <w:jc w:val="center"/>
        <w:rPr>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6"/>
          <w:szCs w:val="36"/>
          <w:vertAlign w:val="baseline"/>
          <w:lang w:eastAsia="zh-CN"/>
        </w:rPr>
      </w:pPr>
      <w:r>
        <w:rPr>
          <w:rFonts w:hint="eastAsia" w:ascii="宋体" w:hAnsi="宋体" w:eastAsia="宋体" w:cs="宋体"/>
          <w:b/>
          <w:bCs/>
          <w:sz w:val="36"/>
          <w:szCs w:val="36"/>
          <w:lang w:eastAsia="zh-CN"/>
        </w:rPr>
        <w:t>常州市延陵小学</w:t>
      </w:r>
      <w:r>
        <w:rPr>
          <w:rFonts w:hint="eastAsia" w:ascii="宋体" w:hAnsi="宋体" w:eastAsia="宋体" w:cs="宋体"/>
          <w:b/>
          <w:bCs/>
          <w:sz w:val="36"/>
          <w:szCs w:val="36"/>
        </w:rPr>
        <w:t>区级</w:t>
      </w:r>
      <w:r>
        <w:rPr>
          <w:rFonts w:hint="eastAsia" w:ascii="宋体" w:hAnsi="宋体" w:eastAsia="宋体" w:cs="宋体"/>
          <w:b/>
          <w:bCs/>
          <w:sz w:val="36"/>
          <w:szCs w:val="36"/>
          <w:lang w:eastAsia="zh-CN"/>
        </w:rPr>
        <w:t>素质教育</w:t>
      </w:r>
      <w:r>
        <w:rPr>
          <w:rFonts w:hint="eastAsia" w:ascii="宋体" w:hAnsi="宋体" w:eastAsia="宋体" w:cs="宋体"/>
          <w:b/>
          <w:bCs/>
          <w:sz w:val="36"/>
          <w:szCs w:val="36"/>
        </w:rPr>
        <w:t>督导评估报告</w:t>
      </w:r>
    </w:p>
    <w:tbl>
      <w:tblPr>
        <w:tblStyle w:val="6"/>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8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92"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left="113" w:leftChars="0" w:right="113" w:rightChars="0" w:firstLine="0" w:firstLineChars="0"/>
              <w:jc w:val="center"/>
              <w:textAlignment w:val="auto"/>
              <w:outlineLvl w:val="9"/>
              <w:rPr>
                <w:rFonts w:hint="eastAsia" w:ascii="华文中宋" w:hAnsi="华文中宋" w:eastAsia="华文中宋" w:cs="华文中宋"/>
                <w:b w:val="0"/>
                <w:bCs w:val="0"/>
                <w:sz w:val="28"/>
                <w:szCs w:val="28"/>
                <w:vertAlign w:val="baseline"/>
                <w:lang w:eastAsia="zh-CN"/>
              </w:rPr>
            </w:pPr>
            <w:r>
              <w:rPr>
                <w:rFonts w:hint="eastAsia" w:ascii="宋体" w:hAnsi="宋体" w:eastAsia="宋体" w:cs="宋体"/>
                <w:b w:val="0"/>
                <w:bCs w:val="0"/>
                <w:sz w:val="28"/>
                <w:szCs w:val="28"/>
                <w:vertAlign w:val="baseline"/>
                <w:lang w:eastAsia="zh-CN"/>
              </w:rPr>
              <w:t>评</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估</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组</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成</w:t>
            </w:r>
            <w:r>
              <w:rPr>
                <w:rFonts w:hint="eastAsia" w:ascii="宋体" w:hAnsi="宋体" w:eastAsia="宋体" w:cs="宋体"/>
                <w:b w:val="0"/>
                <w:bCs w:val="0"/>
                <w:sz w:val="28"/>
                <w:szCs w:val="28"/>
                <w:vertAlign w:val="baseline"/>
                <w:lang w:val="en-US" w:eastAsia="zh-CN"/>
              </w:rPr>
              <w:t xml:space="preserve"> </w:t>
            </w:r>
            <w:r>
              <w:rPr>
                <w:rFonts w:hint="eastAsia" w:ascii="宋体" w:hAnsi="宋体" w:eastAsia="宋体" w:cs="宋体"/>
                <w:b w:val="0"/>
                <w:bCs w:val="0"/>
                <w:sz w:val="28"/>
                <w:szCs w:val="28"/>
                <w:vertAlign w:val="baseline"/>
                <w:lang w:eastAsia="zh-CN"/>
              </w:rPr>
              <w:t>员</w:t>
            </w:r>
          </w:p>
        </w:tc>
        <w:tc>
          <w:tcPr>
            <w:tcW w:w="2086" w:type="dxa"/>
            <w:vAlign w:val="center"/>
          </w:tcPr>
          <w:p>
            <w:pPr>
              <w:keepNext w:val="0"/>
              <w:keepLines w:val="0"/>
              <w:pageBreakBefore w:val="0"/>
              <w:widowControl w:val="0"/>
              <w:kinsoku/>
              <w:wordWrap/>
              <w:overflowPunct/>
              <w:topLinePunct w:val="0"/>
              <w:autoSpaceDE/>
              <w:autoSpaceDN/>
              <w:bidi w:val="0"/>
              <w:adjustRightInd/>
              <w:snapToGrid/>
              <w:spacing w:after="156" w:afterLines="50" w:line="240" w:lineRule="auto"/>
              <w:ind w:firstLine="0" w:firstLineChars="0"/>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val="0"/>
                <w:bCs w:val="0"/>
                <w:sz w:val="28"/>
                <w:szCs w:val="28"/>
                <w:vertAlign w:val="baseline"/>
                <w:lang w:eastAsia="zh-CN"/>
              </w:rPr>
              <w:t>组长</w:t>
            </w:r>
          </w:p>
        </w:tc>
        <w:tc>
          <w:tcPr>
            <w:tcW w:w="6296" w:type="dxa"/>
            <w:vAlign w:val="center"/>
          </w:tcPr>
          <w:p>
            <w:pPr>
              <w:keepNext w:val="0"/>
              <w:keepLines w:val="0"/>
              <w:pageBreakBefore w:val="0"/>
              <w:widowControl w:val="0"/>
              <w:kinsoku/>
              <w:wordWrap/>
              <w:overflowPunct/>
              <w:topLinePunct w:val="0"/>
              <w:autoSpaceDE/>
              <w:autoSpaceDN/>
              <w:bidi w:val="0"/>
              <w:adjustRightInd/>
              <w:snapToGrid/>
              <w:spacing w:after="156" w:afterLines="50" w:line="240" w:lineRule="auto"/>
              <w:ind w:firstLine="0" w:firstLineChars="0"/>
              <w:jc w:val="center"/>
              <w:textAlignment w:val="auto"/>
              <w:rPr>
                <w:rFonts w:hint="eastAsia" w:ascii="宋体" w:hAnsi="宋体" w:eastAsia="宋体" w:cs="宋体"/>
                <w:b w:val="0"/>
                <w:bCs w:val="0"/>
                <w:sz w:val="28"/>
                <w:szCs w:val="28"/>
                <w:vertAlign w:val="baseline"/>
                <w:lang w:eastAsia="zh-CN"/>
              </w:rPr>
            </w:pPr>
            <w:r>
              <w:rPr>
                <w:rFonts w:hint="eastAsia" w:ascii="仿宋_GB2312" w:eastAsia="仿宋_GB2312"/>
                <w:b w:val="0"/>
                <w:color w:val="auto"/>
                <w:sz w:val="28"/>
                <w:szCs w:val="28"/>
                <w:lang w:val="en-US" w:eastAsia="zh-CN"/>
              </w:rPr>
              <w:t>钱爱芙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spacing w:after="156" w:afterLines="50" w:line="240" w:lineRule="auto"/>
              <w:ind w:firstLine="0" w:firstLineChars="0"/>
              <w:jc w:val="center"/>
              <w:textAlignment w:val="auto"/>
              <w:rPr>
                <w:rFonts w:hint="eastAsia" w:ascii="华文中宋" w:hAnsi="华文中宋" w:eastAsia="华文中宋" w:cs="华文中宋"/>
                <w:b/>
                <w:bCs/>
                <w:sz w:val="28"/>
                <w:szCs w:val="28"/>
                <w:vertAlign w:val="baseline"/>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after="156" w:afterLines="50" w:line="240" w:lineRule="auto"/>
              <w:ind w:firstLine="0" w:firstLineChars="0"/>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val="0"/>
                <w:bCs w:val="0"/>
                <w:sz w:val="28"/>
                <w:szCs w:val="28"/>
                <w:vertAlign w:val="baseline"/>
                <w:lang w:eastAsia="zh-CN"/>
              </w:rPr>
              <w:t>组员</w:t>
            </w:r>
          </w:p>
        </w:tc>
        <w:tc>
          <w:tcPr>
            <w:tcW w:w="6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sz w:val="28"/>
                <w:szCs w:val="28"/>
                <w:vertAlign w:val="baseline"/>
                <w:lang w:eastAsia="zh-CN"/>
              </w:rPr>
            </w:pPr>
            <w:r>
              <w:rPr>
                <w:rFonts w:hint="eastAsia" w:ascii="仿宋_GB2312" w:eastAsia="仿宋_GB2312"/>
                <w:b w:val="0"/>
                <w:color w:val="auto"/>
                <w:sz w:val="28"/>
                <w:szCs w:val="28"/>
                <w:lang w:eastAsia="zh-CN"/>
              </w:rPr>
              <w:t>钱新建、</w:t>
            </w:r>
            <w:r>
              <w:rPr>
                <w:rFonts w:hint="eastAsia" w:ascii="仿宋_GB2312" w:eastAsia="仿宋_GB2312"/>
                <w:b w:val="0"/>
                <w:color w:val="auto"/>
                <w:sz w:val="28"/>
                <w:szCs w:val="28"/>
                <w:lang w:val="en-US" w:eastAsia="zh-CN"/>
              </w:rPr>
              <w:t>周小芬、龚莉娜、</w:t>
            </w:r>
            <w:r>
              <w:rPr>
                <w:rFonts w:hint="eastAsia" w:ascii="仿宋_GB2312" w:eastAsia="仿宋_GB2312"/>
                <w:b w:val="0"/>
                <w:color w:val="auto"/>
                <w:sz w:val="28"/>
                <w:szCs w:val="28"/>
                <w:lang w:eastAsia="zh-CN"/>
              </w:rPr>
              <w:t>谭文杰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92" w:type="dxa"/>
            <w:vMerge w:val="continue"/>
            <w:vAlign w:val="center"/>
          </w:tcPr>
          <w:p>
            <w:pPr>
              <w:keepNext w:val="0"/>
              <w:keepLines w:val="0"/>
              <w:pageBreakBefore w:val="0"/>
              <w:widowControl w:val="0"/>
              <w:kinsoku/>
              <w:wordWrap/>
              <w:overflowPunct/>
              <w:topLinePunct w:val="0"/>
              <w:autoSpaceDE/>
              <w:autoSpaceDN/>
              <w:bidi w:val="0"/>
              <w:adjustRightInd/>
              <w:snapToGrid/>
              <w:spacing w:after="156" w:afterLines="50" w:line="240" w:lineRule="auto"/>
              <w:ind w:firstLine="0" w:firstLineChars="0"/>
              <w:jc w:val="center"/>
              <w:textAlignment w:val="auto"/>
              <w:rPr>
                <w:rFonts w:hint="eastAsia" w:ascii="华文中宋" w:hAnsi="华文中宋" w:eastAsia="华文中宋" w:cs="华文中宋"/>
                <w:b/>
                <w:bCs/>
                <w:sz w:val="28"/>
                <w:szCs w:val="28"/>
                <w:vertAlign w:val="baseline"/>
              </w:rPr>
            </w:pPr>
          </w:p>
        </w:tc>
        <w:tc>
          <w:tcPr>
            <w:tcW w:w="2086" w:type="dxa"/>
            <w:vAlign w:val="center"/>
          </w:tcPr>
          <w:p>
            <w:pPr>
              <w:keepNext w:val="0"/>
              <w:keepLines w:val="0"/>
              <w:pageBreakBefore w:val="0"/>
              <w:widowControl w:val="0"/>
              <w:kinsoku/>
              <w:wordWrap/>
              <w:overflowPunct/>
              <w:topLinePunct w:val="0"/>
              <w:autoSpaceDE/>
              <w:autoSpaceDN/>
              <w:bidi w:val="0"/>
              <w:adjustRightInd/>
              <w:snapToGrid/>
              <w:spacing w:after="156" w:afterLines="50" w:line="240" w:lineRule="auto"/>
              <w:ind w:firstLine="0" w:firstLineChars="0"/>
              <w:jc w:val="center"/>
              <w:textAlignment w:val="auto"/>
              <w:rPr>
                <w:rFonts w:hint="eastAsia" w:ascii="宋体" w:hAnsi="宋体" w:eastAsia="宋体" w:cs="宋体"/>
                <w:b/>
                <w:bCs/>
                <w:sz w:val="28"/>
                <w:szCs w:val="28"/>
                <w:vertAlign w:val="baseline"/>
                <w:lang w:eastAsia="zh-CN"/>
              </w:rPr>
            </w:pPr>
            <w:r>
              <w:rPr>
                <w:rFonts w:hint="eastAsia" w:ascii="宋体" w:hAnsi="宋体" w:eastAsia="宋体" w:cs="宋体"/>
                <w:b w:val="0"/>
                <w:bCs w:val="0"/>
                <w:sz w:val="28"/>
                <w:szCs w:val="28"/>
                <w:vertAlign w:val="baseline"/>
                <w:lang w:eastAsia="zh-CN"/>
              </w:rPr>
              <w:t>联络员</w:t>
            </w:r>
          </w:p>
        </w:tc>
        <w:tc>
          <w:tcPr>
            <w:tcW w:w="6296" w:type="dxa"/>
            <w:vAlign w:val="center"/>
          </w:tcPr>
          <w:p>
            <w:pPr>
              <w:keepNext w:val="0"/>
              <w:keepLines w:val="0"/>
              <w:pageBreakBefore w:val="0"/>
              <w:widowControl w:val="0"/>
              <w:kinsoku/>
              <w:wordWrap/>
              <w:overflowPunct/>
              <w:topLinePunct w:val="0"/>
              <w:autoSpaceDE/>
              <w:autoSpaceDN/>
              <w:bidi w:val="0"/>
              <w:adjustRightInd/>
              <w:snapToGrid/>
              <w:spacing w:after="156" w:afterLines="50" w:line="240" w:lineRule="auto"/>
              <w:ind w:firstLine="0" w:firstLineChars="0"/>
              <w:jc w:val="center"/>
              <w:textAlignment w:val="auto"/>
              <w:rPr>
                <w:rFonts w:hint="eastAsia" w:ascii="宋体" w:hAnsi="宋体" w:eastAsia="宋体" w:cs="宋体"/>
                <w:b w:val="0"/>
                <w:bCs w:val="0"/>
                <w:sz w:val="28"/>
                <w:szCs w:val="28"/>
                <w:vertAlign w:val="baseline"/>
                <w:lang w:eastAsia="zh-CN"/>
              </w:rPr>
            </w:pPr>
            <w:r>
              <w:rPr>
                <w:rFonts w:hint="eastAsia" w:ascii="宋体" w:hAnsi="宋体" w:eastAsia="宋体" w:cs="宋体"/>
                <w:b w:val="0"/>
                <w:bCs w:val="0"/>
                <w:sz w:val="28"/>
                <w:szCs w:val="28"/>
                <w:vertAlign w:val="baseline"/>
                <w:lang w:eastAsia="zh-CN"/>
              </w:rPr>
              <w:t>毛刘红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174" w:type="dxa"/>
            <w:gridSpan w:val="3"/>
            <w:vAlign w:val="center"/>
          </w:tcPr>
          <w:p>
            <w:pPr>
              <w:keepNext w:val="0"/>
              <w:keepLines w:val="0"/>
              <w:pageBreakBefore w:val="0"/>
              <w:widowControl w:val="0"/>
              <w:kinsoku/>
              <w:wordWrap/>
              <w:overflowPunct/>
              <w:topLinePunct w:val="0"/>
              <w:autoSpaceDE/>
              <w:autoSpaceDN/>
              <w:bidi w:val="0"/>
              <w:adjustRightInd/>
              <w:snapToGrid/>
              <w:spacing w:after="156" w:afterLines="50" w:line="240" w:lineRule="auto"/>
              <w:ind w:firstLine="0" w:firstLineChars="0"/>
              <w:jc w:val="center"/>
              <w:textAlignment w:val="auto"/>
              <w:rPr>
                <w:rFonts w:hint="eastAsia" w:ascii="华文中宋" w:hAnsi="华文中宋" w:eastAsia="华文中宋" w:cs="华文中宋"/>
                <w:b w:val="0"/>
                <w:bCs w:val="0"/>
                <w:sz w:val="28"/>
                <w:szCs w:val="28"/>
                <w:vertAlign w:val="baseline"/>
                <w:lang w:eastAsia="zh-CN"/>
              </w:rPr>
            </w:pPr>
            <w:r>
              <w:rPr>
                <w:rFonts w:hint="eastAsia" w:ascii="宋体" w:hAnsi="宋体" w:eastAsia="宋体" w:cs="宋体"/>
                <w:b w:val="0"/>
                <w:bCs w:val="0"/>
                <w:sz w:val="28"/>
                <w:szCs w:val="28"/>
                <w:vertAlign w:val="baseline"/>
                <w:lang w:eastAsia="zh-CN"/>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9174" w:type="dxa"/>
            <w:gridSpan w:val="3"/>
            <w:vAlign w:val="center"/>
          </w:tcPr>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jc w:val="left"/>
              <w:textAlignment w:val="auto"/>
              <w:outlineLvl w:val="9"/>
              <w:rPr>
                <w:rFonts w:hint="eastAsia" w:ascii="仿宋_GB2312" w:hAnsi="仿宋_GB2312" w:eastAsia="仿宋_GB2312" w:cs="仿宋_GB2312"/>
                <w:b w:val="0"/>
                <w:i w:val="0"/>
                <w:caps w:val="0"/>
                <w:color w:val="000000"/>
                <w:spacing w:val="0"/>
                <w:sz w:val="24"/>
                <w:szCs w:val="24"/>
                <w:shd w:val="clear" w:color="auto" w:fill="FFFFFF"/>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kern w:val="0"/>
                <w:sz w:val="24"/>
                <w:szCs w:val="24"/>
                <w:shd w:val="clear" w:color="auto" w:fill="FFFFFF"/>
              </w:rPr>
              <w:t>根据《</w:t>
            </w:r>
            <w:r>
              <w:rPr>
                <w:rFonts w:hint="eastAsia" w:ascii="仿宋_GB2312" w:hAnsi="仿宋_GB2312" w:eastAsia="仿宋_GB2312" w:cs="仿宋_GB2312"/>
                <w:color w:val="000000"/>
                <w:kern w:val="0"/>
                <w:sz w:val="24"/>
                <w:szCs w:val="24"/>
                <w:shd w:val="clear" w:color="auto" w:fill="FFFFFF"/>
                <w:lang w:eastAsia="zh-CN"/>
              </w:rPr>
              <w:t>区教育文体局关于开展天宁区第二轮中小学素质教育督导考核的通知</w:t>
            </w:r>
            <w:r>
              <w:rPr>
                <w:rFonts w:hint="eastAsia" w:ascii="仿宋_GB2312" w:hAnsi="仿宋_GB2312" w:eastAsia="仿宋_GB2312" w:cs="仿宋_GB2312"/>
                <w:color w:val="000000"/>
                <w:kern w:val="0"/>
                <w:sz w:val="24"/>
                <w:szCs w:val="24"/>
                <w:shd w:val="clear" w:color="auto" w:fill="FFFFFF"/>
              </w:rPr>
              <w:t>》（常天教〔</w:t>
            </w:r>
            <w:r>
              <w:rPr>
                <w:rFonts w:ascii="仿宋_GB2312" w:hAnsi="仿宋_GB2312" w:eastAsia="仿宋_GB2312" w:cs="仿宋_GB2312"/>
                <w:color w:val="000000"/>
                <w:kern w:val="0"/>
                <w:sz w:val="24"/>
                <w:szCs w:val="24"/>
                <w:shd w:val="clear" w:color="auto" w:fill="FFFFFF"/>
              </w:rPr>
              <w:t>201</w:t>
            </w:r>
            <w:r>
              <w:rPr>
                <w:rFonts w:hint="eastAsia" w:ascii="仿宋_GB2312" w:hAnsi="仿宋_GB2312" w:eastAsia="仿宋_GB2312" w:cs="仿宋_GB2312"/>
                <w:color w:val="000000"/>
                <w:kern w:val="0"/>
                <w:sz w:val="24"/>
                <w:szCs w:val="24"/>
                <w:shd w:val="clear" w:color="auto" w:fill="FFFFFF"/>
                <w:lang w:val="en-US" w:eastAsia="zh-CN"/>
              </w:rPr>
              <w:t>6</w:t>
            </w:r>
            <w:r>
              <w:rPr>
                <w:rFonts w:hint="eastAsia" w:ascii="仿宋_GB2312" w:hAnsi="仿宋_GB2312" w:eastAsia="仿宋_GB2312" w:cs="仿宋_GB2312"/>
                <w:color w:val="000000"/>
                <w:kern w:val="0"/>
                <w:sz w:val="24"/>
                <w:szCs w:val="24"/>
                <w:shd w:val="clear" w:color="auto" w:fill="FFFFFF"/>
              </w:rPr>
              <w:t>〕</w:t>
            </w:r>
            <w:r>
              <w:rPr>
                <w:rFonts w:hint="eastAsia" w:ascii="仿宋_GB2312" w:hAnsi="仿宋_GB2312" w:eastAsia="仿宋_GB2312" w:cs="仿宋_GB2312"/>
                <w:color w:val="000000"/>
                <w:kern w:val="0"/>
                <w:sz w:val="24"/>
                <w:szCs w:val="24"/>
                <w:shd w:val="clear" w:color="auto" w:fill="FFFFFF"/>
                <w:lang w:val="en-US" w:eastAsia="zh-CN"/>
              </w:rPr>
              <w:t>15</w:t>
            </w:r>
            <w:r>
              <w:rPr>
                <w:rFonts w:hint="eastAsia" w:ascii="仿宋_GB2312" w:hAnsi="仿宋_GB2312" w:eastAsia="仿宋_GB2312" w:cs="仿宋_GB2312"/>
                <w:color w:val="000000"/>
                <w:kern w:val="0"/>
                <w:sz w:val="24"/>
                <w:szCs w:val="24"/>
                <w:shd w:val="clear" w:color="auto" w:fill="FFFFFF"/>
              </w:rPr>
              <w:t>号）</w:t>
            </w:r>
            <w:r>
              <w:rPr>
                <w:rFonts w:hint="eastAsia" w:ascii="仿宋_GB2312" w:hAnsi="仿宋_GB2312" w:eastAsia="仿宋_GB2312" w:cs="仿宋_GB2312"/>
                <w:b w:val="0"/>
                <w:i w:val="0"/>
                <w:caps w:val="0"/>
                <w:color w:val="000000"/>
                <w:spacing w:val="0"/>
                <w:sz w:val="24"/>
                <w:szCs w:val="24"/>
                <w:shd w:val="clear" w:color="auto" w:fill="FFFFFF"/>
              </w:rPr>
              <w:t>文件精神及区督导评估工作计划，天宁区人民政府教育督导室组成督导评估组，于201</w:t>
            </w:r>
            <w:r>
              <w:rPr>
                <w:rFonts w:hint="eastAsia" w:ascii="仿宋_GB2312" w:hAnsi="仿宋_GB2312" w:eastAsia="仿宋_GB2312" w:cs="仿宋_GB2312"/>
                <w:b w:val="0"/>
                <w:i w:val="0"/>
                <w:caps w:val="0"/>
                <w:color w:val="000000"/>
                <w:spacing w:val="0"/>
                <w:sz w:val="24"/>
                <w:szCs w:val="24"/>
                <w:shd w:val="clear" w:color="auto" w:fill="FFFFFF"/>
                <w:lang w:val="en-US" w:eastAsia="zh-CN"/>
              </w:rPr>
              <w:t>7</w:t>
            </w:r>
            <w:r>
              <w:rPr>
                <w:rFonts w:hint="eastAsia" w:ascii="仿宋_GB2312" w:hAnsi="仿宋_GB2312" w:eastAsia="仿宋_GB2312" w:cs="仿宋_GB2312"/>
                <w:b w:val="0"/>
                <w:i w:val="0"/>
                <w:caps w:val="0"/>
                <w:color w:val="000000"/>
                <w:spacing w:val="0"/>
                <w:sz w:val="24"/>
                <w:szCs w:val="24"/>
                <w:shd w:val="clear" w:color="auto" w:fill="FFFFFF"/>
              </w:rPr>
              <w:t>年</w:t>
            </w:r>
            <w:r>
              <w:rPr>
                <w:rFonts w:hint="eastAsia" w:ascii="仿宋_GB2312" w:hAnsi="仿宋_GB2312" w:eastAsia="仿宋_GB2312" w:cs="仿宋_GB2312"/>
                <w:b w:val="0"/>
                <w:i w:val="0"/>
                <w:caps w:val="0"/>
                <w:color w:val="000000"/>
                <w:spacing w:val="0"/>
                <w:sz w:val="24"/>
                <w:szCs w:val="24"/>
                <w:shd w:val="clear" w:color="auto" w:fill="FFFFFF"/>
                <w:lang w:val="en-US" w:eastAsia="zh-CN"/>
              </w:rPr>
              <w:t>5</w:t>
            </w:r>
            <w:r>
              <w:rPr>
                <w:rFonts w:hint="eastAsia" w:ascii="仿宋_GB2312" w:hAnsi="仿宋_GB2312" w:eastAsia="仿宋_GB2312" w:cs="仿宋_GB2312"/>
                <w:b w:val="0"/>
                <w:i w:val="0"/>
                <w:caps w:val="0"/>
                <w:color w:val="000000"/>
                <w:spacing w:val="0"/>
                <w:sz w:val="24"/>
                <w:szCs w:val="24"/>
                <w:shd w:val="clear" w:color="auto" w:fill="FFFFFF"/>
              </w:rPr>
              <w:t>月</w:t>
            </w:r>
            <w:r>
              <w:rPr>
                <w:rFonts w:hint="eastAsia" w:ascii="仿宋_GB2312" w:hAnsi="仿宋_GB2312" w:eastAsia="仿宋_GB2312" w:cs="仿宋_GB2312"/>
                <w:b w:val="0"/>
                <w:i w:val="0"/>
                <w:caps w:val="0"/>
                <w:color w:val="000000"/>
                <w:spacing w:val="0"/>
                <w:sz w:val="24"/>
                <w:szCs w:val="24"/>
                <w:shd w:val="clear" w:color="auto" w:fill="FFFFFF"/>
                <w:lang w:val="en-US" w:eastAsia="zh-CN"/>
              </w:rPr>
              <w:t>1</w:t>
            </w:r>
            <w:r>
              <w:rPr>
                <w:rFonts w:hint="eastAsia" w:ascii="仿宋_GB2312" w:hAnsi="仿宋_GB2312" w:eastAsia="仿宋_GB2312" w:cs="仿宋_GB2312"/>
                <w:b w:val="0"/>
                <w:i w:val="0"/>
                <w:caps w:val="0"/>
                <w:color w:val="000000"/>
                <w:spacing w:val="0"/>
                <w:sz w:val="24"/>
                <w:szCs w:val="24"/>
                <w:shd w:val="clear" w:color="auto" w:fill="FFFFFF"/>
              </w:rPr>
              <w:t>7日对常州市</w:t>
            </w:r>
            <w:r>
              <w:rPr>
                <w:rFonts w:hint="eastAsia" w:ascii="仿宋_GB2312" w:hAnsi="仿宋_GB2312" w:eastAsia="仿宋_GB2312" w:cs="仿宋_GB2312"/>
                <w:b w:val="0"/>
                <w:i w:val="0"/>
                <w:caps w:val="0"/>
                <w:color w:val="000000"/>
                <w:spacing w:val="0"/>
                <w:sz w:val="24"/>
                <w:szCs w:val="24"/>
                <w:shd w:val="clear" w:color="auto" w:fill="FFFFFF"/>
                <w:lang w:eastAsia="zh-CN"/>
              </w:rPr>
              <w:t>延陵</w:t>
            </w:r>
            <w:r>
              <w:rPr>
                <w:rFonts w:hint="eastAsia" w:ascii="仿宋_GB2312" w:hAnsi="仿宋_GB2312" w:eastAsia="仿宋_GB2312" w:cs="仿宋_GB2312"/>
                <w:b w:val="0"/>
                <w:i w:val="0"/>
                <w:caps w:val="0"/>
                <w:color w:val="000000"/>
                <w:spacing w:val="0"/>
                <w:sz w:val="24"/>
                <w:szCs w:val="24"/>
                <w:shd w:val="clear" w:color="auto" w:fill="FFFFFF"/>
              </w:rPr>
              <w:t>小学进行了督导评估。现将现场督导评估工作情况及工作意见报告如下：</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jc w:val="left"/>
              <w:textAlignment w:val="auto"/>
              <w:outlineLvl w:val="9"/>
              <w:rPr>
                <w:rFonts w:hint="eastAsia" w:ascii="仿宋_GB2312" w:hAnsi="仿宋_GB2312" w:eastAsia="仿宋_GB2312" w:cs="仿宋_GB2312"/>
                <w:b w:val="0"/>
                <w:i w:val="0"/>
                <w:caps w:val="0"/>
                <w:color w:val="000000"/>
                <w:spacing w:val="0"/>
                <w:sz w:val="24"/>
                <w:szCs w:val="24"/>
                <w:shd w:val="clear" w:color="auto" w:fill="FFFFFF"/>
                <w:lang w:val="en-US" w:eastAsia="zh-CN"/>
              </w:rPr>
            </w:pPr>
            <w:r>
              <w:rPr>
                <w:rFonts w:hint="eastAsia" w:ascii="仿宋_GB2312" w:hAnsi="仿宋_GB2312" w:eastAsia="仿宋_GB2312" w:cs="仿宋_GB2312"/>
                <w:b w:val="0"/>
                <w:i w:val="0"/>
                <w:caps w:val="0"/>
                <w:color w:val="000000"/>
                <w:spacing w:val="0"/>
                <w:sz w:val="24"/>
                <w:szCs w:val="24"/>
                <w:shd w:val="clear" w:color="auto" w:fill="FFFFFF"/>
                <w:lang w:val="en-US" w:eastAsia="zh-CN"/>
              </w:rPr>
              <w:t xml:space="preserve">    一、</w:t>
            </w:r>
            <w:r>
              <w:rPr>
                <w:rFonts w:hint="eastAsia" w:ascii="仿宋_GB2312" w:hAnsi="仿宋_GB2312" w:eastAsia="仿宋_GB2312" w:cs="仿宋_GB2312"/>
                <w:b/>
                <w:bCs/>
                <w:sz w:val="24"/>
                <w:szCs w:val="24"/>
                <w:lang w:val="en-US" w:eastAsia="zh-CN"/>
              </w:rPr>
              <w:t>工作概况</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在一天的评估过程中，</w:t>
            </w:r>
            <w:r>
              <w:rPr>
                <w:rFonts w:hint="eastAsia" w:ascii="仿宋_GB2312" w:hAnsi="仿宋_GB2312" w:eastAsia="仿宋_GB2312" w:cs="仿宋_GB2312"/>
                <w:sz w:val="24"/>
                <w:szCs w:val="24"/>
              </w:rPr>
              <w:t>评估组听取了蒋立新校长作的《敦品励学 润泽生命底色》的自评报告；并就办学思想、制度建设、队伍建设、规范办学、德育活动、课堂教学、办学成效、文化建设与特色培育等话题与学校领导班子进行了交流；实地察看了校容校貌和设施设备等情况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查阅了相关纸质文档资料和电子文档材料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观摩了教研活动、大课间活动以及学生社团活动；督导组随堂听课5节，其中优秀课3节，良好课2节；对4位行政领导、6位教师和10名学生进行了访谈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对21位教师、100位学生、100位家长进行了问卷调查；随机对四年级40位学生（男18名、女22名）进行了体育学科的跳绳、仰卧起坐技能测试，合格率均为100 %，跳绳优秀率 60%，仰卧起坐优秀率40%；还对五年级20位学生（男12名、女8名）进行了科学学科测试，总分80</w:t>
            </w:r>
            <w:r>
              <w:rPr>
                <w:rFonts w:hint="eastAsia" w:ascii="仿宋_GB2312" w:hAnsi="仿宋_GB2312" w:eastAsia="仿宋_GB2312" w:cs="仿宋_GB2312"/>
                <w:sz w:val="24"/>
                <w:szCs w:val="24"/>
                <w:lang w:eastAsia="zh-CN"/>
              </w:rPr>
              <w:t>分</w:t>
            </w:r>
            <w:r>
              <w:rPr>
                <w:rFonts w:hint="eastAsia" w:ascii="仿宋_GB2312" w:hAnsi="仿宋_GB2312" w:eastAsia="仿宋_GB2312" w:cs="仿宋_GB2312"/>
                <w:sz w:val="24"/>
                <w:szCs w:val="24"/>
              </w:rPr>
              <w:t>，反映出教师指导基本到位，学生探究、合作还需加强。评估组在分工调研，汇总情况，集体讨论的基础上，形成评估意见。</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二</w:t>
            </w:r>
            <w:r>
              <w:rPr>
                <w:rFonts w:hint="eastAsia" w:ascii="仿宋_GB2312" w:hAnsi="仿宋_GB2312" w:eastAsia="仿宋_GB2312" w:cs="仿宋_GB2312"/>
                <w:b/>
                <w:sz w:val="24"/>
                <w:szCs w:val="24"/>
              </w:rPr>
              <w:t>、基本情况</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常州市延陵小学是2003年由东门、新坊桥等5所学校合并新建而成的一所普通小学。学校占地面积7581平米，生均7.7平方米，建筑面积7757平米，生均7.9平方米。拥有各类专用教室6个，环境优美，设施先进。现有图书32000册，</w:t>
            </w:r>
            <w:r>
              <w:rPr>
                <w:rFonts w:hint="eastAsia" w:ascii="仿宋_GB2312" w:hAnsi="仿宋_GB2312" w:eastAsia="仿宋_GB2312" w:cs="仿宋_GB2312"/>
                <w:sz w:val="24"/>
                <w:szCs w:val="24"/>
                <w:lang w:eastAsia="zh-CN"/>
              </w:rPr>
              <w:t>生均</w:t>
            </w:r>
            <w:r>
              <w:rPr>
                <w:rFonts w:hint="eastAsia" w:ascii="仿宋_GB2312" w:hAnsi="仿宋_GB2312" w:eastAsia="仿宋_GB2312" w:cs="仿宋_GB2312"/>
                <w:sz w:val="24"/>
                <w:szCs w:val="24"/>
                <w:lang w:val="en-US" w:eastAsia="zh-CN"/>
              </w:rPr>
              <w:t>32.5册，现有计算机108台，</w:t>
            </w:r>
            <w:r>
              <w:rPr>
                <w:rFonts w:hint="eastAsia" w:ascii="仿宋_GB2312" w:hAnsi="仿宋_GB2312" w:eastAsia="仿宋_GB2312" w:cs="仿宋_GB2312"/>
                <w:sz w:val="24"/>
                <w:szCs w:val="24"/>
              </w:rPr>
              <w:t>生机比为9.1:1，基本满足了教育教学的需要。</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学校现共有22个教学班，学生984人，专任教师52名，本科及以上学历42人，占82.69%；现有区级以上学科带头人、能手、新秀15人，其中常州市级6人，</w:t>
            </w:r>
            <w:r>
              <w:rPr>
                <w:rFonts w:hint="eastAsia" w:ascii="仿宋_GB2312" w:hAnsi="仿宋_GB2312" w:eastAsia="仿宋_GB2312" w:cs="仿宋_GB2312"/>
                <w:sz w:val="24"/>
                <w:szCs w:val="24"/>
                <w:lang w:eastAsia="zh-CN"/>
              </w:rPr>
              <w:t>五级</w:t>
            </w:r>
            <w:r>
              <w:rPr>
                <w:rFonts w:hint="eastAsia" w:ascii="仿宋_GB2312" w:hAnsi="仿宋_GB2312" w:eastAsia="仿宋_GB2312" w:cs="仿宋_GB2312"/>
                <w:sz w:val="24"/>
                <w:szCs w:val="24"/>
              </w:rPr>
              <w:t>梯队人数占全体教师28.85%。</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秉承“回归儿童，发展儿童”的办学理念，以“全课程”实践研究为重点，以人为本，实施全人教育，推进课程改革，促进学生全面发展和个性养成。学校先后被评为常州市节能示范单位、常州市小记者示范校、天宁区教育宣传工作先进集体，获得常州市第四届学校主动发展优秀项目二等奖、常州市校园文化建设展评二等奖等荣誉，体现了一所新校从普通走向特色的奋进之势。</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三</w:t>
            </w:r>
            <w:r>
              <w:rPr>
                <w:rFonts w:hint="eastAsia" w:ascii="仿宋_GB2312" w:hAnsi="仿宋_GB2312" w:eastAsia="仿宋_GB2312" w:cs="仿宋_GB2312"/>
                <w:b/>
                <w:sz w:val="24"/>
                <w:szCs w:val="24"/>
              </w:rPr>
              <w:t>、主要成绩和亮点</w:t>
            </w:r>
          </w:p>
          <w:p>
            <w:pPr>
              <w:keepNext w:val="0"/>
              <w:keepLines w:val="0"/>
              <w:pageBreakBefore w:val="0"/>
              <w:widowControl w:val="0"/>
              <w:kinsoku/>
              <w:wordWrap/>
              <w:overflowPunct/>
              <w:topLinePunct w:val="0"/>
              <w:autoSpaceDE/>
              <w:autoSpaceDN/>
              <w:bidi w:val="0"/>
              <w:adjustRightInd/>
              <w:snapToGrid/>
              <w:spacing w:line="267" w:lineRule="exact"/>
              <w:ind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（一）</w:t>
            </w:r>
            <w:r>
              <w:rPr>
                <w:rFonts w:hint="eastAsia" w:ascii="仿宋_GB2312" w:hAnsi="仿宋_GB2312" w:eastAsia="仿宋_GB2312" w:cs="仿宋_GB2312"/>
                <w:b/>
                <w:sz w:val="24"/>
                <w:szCs w:val="24"/>
              </w:rPr>
              <w:t>以文化建构、民主管理、制度健全，引领学校发展</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延陵小学立足校情，弘扬传统，确立“回归儿童，发展儿童”的办学理念，全面架构学校改革发展的新思维、新框架，创新工作的新思路和管理的新机制。</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sz w:val="24"/>
                <w:szCs w:val="24"/>
              </w:rPr>
              <w:t>文化引领发展。</w:t>
            </w:r>
            <w:r>
              <w:rPr>
                <w:rFonts w:hint="eastAsia" w:ascii="仿宋_GB2312" w:hAnsi="仿宋_GB2312" w:eastAsia="仿宋_GB2312" w:cs="仿宋_GB2312"/>
                <w:sz w:val="24"/>
                <w:szCs w:val="24"/>
              </w:rPr>
              <w:t>一个人的阅读史就是他的精神发育史。延陵小学积极推进师生阅读，共建书香校园。把阅读融入了教学、活动、师生的校园生活。充分利用学校的地理优势，成立“东坡书社”，打造书香教室，让阅读成为师生的一种常态，一种生活方式，一种文化氛围，引领着学校发展。</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管理民主实效。</w:t>
            </w:r>
            <w:r>
              <w:rPr>
                <w:rFonts w:hint="eastAsia" w:ascii="仿宋_GB2312" w:hAnsi="仿宋_GB2312" w:eastAsia="仿宋_GB2312" w:cs="仿宋_GB2312"/>
                <w:sz w:val="24"/>
                <w:szCs w:val="24"/>
              </w:rPr>
              <w:t>学校有一个有思想、有追求、有梦想的领导班子，在蒋校长的带领下，学校通过加强学习研讨，强化三种意识（大局意识、民主意识、实干意识），强化班子责任，中层条块管理分工具体、职责明确，执行力强。通过责任落实到人，校务公开，推进学校民主管理。</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制度保障秩序。</w:t>
            </w:r>
            <w:r>
              <w:rPr>
                <w:rFonts w:hint="eastAsia" w:ascii="仿宋_GB2312" w:hAnsi="仿宋_GB2312" w:eastAsia="仿宋_GB2312" w:cs="仿宋_GB2312"/>
                <w:sz w:val="24"/>
                <w:szCs w:val="24"/>
              </w:rPr>
              <w:t>学校确立了“人人都是学校管理者”的管理理念，优化管理机制，注重过程管理，实现管理重心下移。采取了抓学习，内强素质；抓言行，外塑形象；抓反思，改进方法；抓考核，优化队伍等举措，全面优化管理队伍，并进行动态制度调整，依据校情完善了各项规章制度，通过制度使学校的管理更加规范。</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（二）</w:t>
            </w:r>
            <w:r>
              <w:rPr>
                <w:rFonts w:hint="eastAsia" w:ascii="仿宋_GB2312" w:hAnsi="仿宋_GB2312" w:eastAsia="仿宋_GB2312" w:cs="仿宋_GB2312"/>
                <w:b/>
                <w:sz w:val="24"/>
                <w:szCs w:val="24"/>
              </w:rPr>
              <w:t>以立德树人、德育体系、活动推进，培养崇德少年</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学校坚持全人的教育观，深化德育内涵建设，依据德育生活性、活动性、情感性、生成性原则，规划德育课程，围绕东坡文化总体构建德育体系，推进德育课程实施，促进学生求真、向善、尚美。</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sz w:val="24"/>
                <w:szCs w:val="24"/>
              </w:rPr>
              <w:t>东坡文化构筑德育体系。</w:t>
            </w:r>
            <w:r>
              <w:rPr>
                <w:rFonts w:hint="eastAsia" w:ascii="仿宋_GB2312" w:hAnsi="仿宋_GB2312" w:eastAsia="仿宋_GB2312" w:cs="仿宋_GB2312"/>
                <w:sz w:val="24"/>
                <w:szCs w:val="24"/>
              </w:rPr>
              <w:t>学校以“走近苏东坡”为契机，积极开展“继承传统文化，争做崇德少年”的活动。通过组织教师学习培训（讲座、阅读、交流），以年级为单位开发东坡文化课程（诗词、故事、经典文化），开设东坡文化社团（书法社、诵读社、故事社、探秘社），举办东坡文化主题活动（朗读、征文），</w:t>
            </w:r>
            <w:r>
              <w:rPr>
                <w:rFonts w:hint="eastAsia" w:ascii="仿宋_GB2312" w:hAnsi="仿宋_GB2312" w:eastAsia="仿宋_GB2312" w:cs="仿宋_GB2312"/>
                <w:sz w:val="24"/>
                <w:szCs w:val="24"/>
                <w:lang w:eastAsia="zh-CN"/>
              </w:rPr>
              <w:t>学</w:t>
            </w:r>
            <w:r>
              <w:rPr>
                <w:rFonts w:hint="eastAsia" w:ascii="仿宋_GB2312" w:hAnsi="仿宋_GB2312" w:eastAsia="仿宋_GB2312" w:cs="仿宋_GB2312"/>
                <w:sz w:val="24"/>
                <w:szCs w:val="24"/>
              </w:rPr>
              <w:t>校友好结对等活动，传播优秀传统文化，积淀人文素养。</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活动推进感受传统文化。</w:t>
            </w:r>
            <w:r>
              <w:rPr>
                <w:rFonts w:hint="eastAsia" w:ascii="仿宋_GB2312" w:hAnsi="仿宋_GB2312" w:eastAsia="仿宋_GB2312" w:cs="仿宋_GB2312"/>
                <w:sz w:val="24"/>
                <w:szCs w:val="24"/>
              </w:rPr>
              <w:t>学校致力于把传统文化教育融入到教学中，把传统节日纳入到学校德育活动中，形成浓郁的书香氛围，让学生更好更多地了解、认同和喜爱传统节日，内化对民族文化的自豪感。同时，多次举办传统文化、常州历史等讲座，在学习活动中开展德育教育，吸纳文化精髓。</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主题实践提升综合能力。</w:t>
            </w:r>
            <w:r>
              <w:rPr>
                <w:rFonts w:hint="eastAsia" w:ascii="仿宋_GB2312" w:hAnsi="仿宋_GB2312" w:eastAsia="仿宋_GB2312" w:cs="仿宋_GB2312"/>
                <w:sz w:val="24"/>
                <w:szCs w:val="24"/>
              </w:rPr>
              <w:t>学校成立家长委员会，开展一系列的“家长进课堂”活动。作为大学生社会实践基地，让青年志愿者走进校园，开展实践活动，传播正能量。以常州市小记者示范校为载体，让学生走近社区、走进社会，拉近学习与生活的距离，在实践活动中提升综合能力。</w:t>
            </w:r>
          </w:p>
          <w:p>
            <w:pPr>
              <w:keepNext w:val="0"/>
              <w:keepLines w:val="0"/>
              <w:pageBreakBefore w:val="0"/>
              <w:widowControl w:val="0"/>
              <w:kinsoku/>
              <w:wordWrap/>
              <w:overflowPunct/>
              <w:topLinePunct w:val="0"/>
              <w:autoSpaceDE/>
              <w:autoSpaceDN/>
              <w:bidi w:val="0"/>
              <w:adjustRightInd/>
              <w:snapToGrid/>
              <w:spacing w:line="267" w:lineRule="exact"/>
              <w:ind w:right="0" w:rightChars="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lang w:eastAsia="zh-CN"/>
              </w:rPr>
              <w:t>（三）</w:t>
            </w:r>
            <w:r>
              <w:rPr>
                <w:rFonts w:hint="eastAsia" w:ascii="仿宋_GB2312" w:hAnsi="仿宋_GB2312" w:eastAsia="仿宋_GB2312" w:cs="仿宋_GB2312"/>
                <w:b/>
                <w:sz w:val="24"/>
                <w:szCs w:val="24"/>
              </w:rPr>
              <w:t>以课程建设、教学改革、有效教研，提升教学质量</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延陵小学坚定不移推进课程建设，深化教学改革，落实教学常规，开发校本课程，开展全课程实验研究，提升了教育教学质量。</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sz w:val="24"/>
                <w:szCs w:val="24"/>
              </w:rPr>
              <w:t>课程建设显特色。</w:t>
            </w:r>
            <w:r>
              <w:rPr>
                <w:rFonts w:hint="eastAsia" w:ascii="仿宋_GB2312" w:hAnsi="仿宋_GB2312" w:eastAsia="仿宋_GB2312" w:cs="仿宋_GB2312"/>
                <w:sz w:val="24"/>
                <w:szCs w:val="24"/>
              </w:rPr>
              <w:t>学校积极开展全课程探索，遵循以研带培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以研促改的工作思路，大胆实践、不断融合，形成了延陵小学的“全课程”特色。围绕全课程研究，全体老师树立了“基础不丢，能力不放，拓展思维，提升学科关键能力”的目标，开发有“根”的教学内容；依托各种资源，扎根学生实际，开设了有“根”的主题课程；分享多次考核、自主申报考核等多种评价方式有效构筑了有“根”的发展性评价机制。同时，根据教师的特长爱好和学生需求，积极开发实施了丰富多彩的校本课程，涵盖文学欣赏、阳光体育、艺术修养、自然科技、生活实践等各个方面。为学生的个性发展、多元发展搭建了有效的平台。</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教学改革强落实。</w:t>
            </w:r>
            <w:r>
              <w:rPr>
                <w:rFonts w:hint="eastAsia" w:ascii="仿宋_GB2312" w:hAnsi="仿宋_GB2312" w:eastAsia="仿宋_GB2312" w:cs="仿宋_GB2312"/>
                <w:sz w:val="24"/>
                <w:szCs w:val="24"/>
              </w:rPr>
              <w:t>学校加强新型课堂教学策略的探索，强调教学目标的多元设置，教学内容的统整处理，尊重学生，以学定教，形成了“把思考还给学生，让学习真正发生”的课堂教学主旋律。加强教育教学常规管理，实施减负增效；夯实集体备课过程，以主题研讨统领备课活动；创造性地使用教材，实现从“教教材”向“用教材”的转变；课程转型基于儿童立场，重视培养学生的问题意识与问题解决的能力。</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教育科研重深入。</w:t>
            </w:r>
            <w:r>
              <w:rPr>
                <w:rFonts w:hint="eastAsia" w:ascii="仿宋_GB2312" w:hAnsi="仿宋_GB2312" w:eastAsia="仿宋_GB2312" w:cs="仿宋_GB2312"/>
                <w:sz w:val="24"/>
                <w:szCs w:val="24"/>
              </w:rPr>
              <w:t>学校树立“科研兴校”的发展战略。三年中结题省级课题1项、区级课题2项，又成功立项省十三五规划课题和两项区级课题。学校总课题从《学科性游戏活动设计促进课堂教学变革的实践研究》到《游戏精神引领下的课堂教学变革的案例研究》，充分体现了研究的持续性、深入性。自上而下的课题研究氛围为实现课堂转型、营造“自由、创造、体验、快乐”的课堂环境提供了有效保障。</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以师德建设、机制激励、专业发展，提升队伍素质</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学校把提升队伍素养作为学校的工作重点来抓，健全激励教师主动发展的工作机制，切实加强师德师能建设，使广大教师的师德修养和专业发展水平都有了较大幅度的提高。</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sz w:val="24"/>
                <w:szCs w:val="24"/>
              </w:rPr>
              <w:t>师德为先，引领发展航向</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学校把师德建设作为教师发展的首要任务，全体教师签订了依法治教责任书；通过举办讲述我身边的故事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爱生故事分享会等活动，营造有利于学生成长的良好氛围，在活动中成就学生，发展自我。</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阅读为形，营造发展氛围</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倡教师多阅读、广阅读、专业阅读，让阅读成为工作生活的常态。学校为全体教师购书，多次组织读书沙龙分享活动，交流学习心得体会。在阅读中及时捕捉教育热点，投入教育教学实践，提升教师专业化水平。</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活动为体，构筑发展体系</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学校组织了多种形式的“练师能”活动，如：师徒结对，导师课堂、资源辐射、机制监督、以赛促训等。根据学校教师梯队的</w:t>
            </w:r>
            <w:r>
              <w:rPr>
                <w:rFonts w:hint="eastAsia" w:ascii="仿宋_GB2312" w:hAnsi="仿宋_GB2312" w:eastAsia="仿宋_GB2312" w:cs="仿宋_GB2312"/>
                <w:sz w:val="24"/>
                <w:szCs w:val="24"/>
                <w:lang w:eastAsia="zh-CN"/>
              </w:rPr>
              <w:t>实</w:t>
            </w:r>
            <w:r>
              <w:rPr>
                <w:rFonts w:hint="eastAsia" w:ascii="仿宋_GB2312" w:hAnsi="仿宋_GB2312" w:eastAsia="仿宋_GB2312" w:cs="仿宋_GB2312"/>
                <w:sz w:val="24"/>
                <w:szCs w:val="24"/>
              </w:rPr>
              <w:t>际情况，提出了不同的要求与标准，重在调动广大教师的积极性，激励教师更好的专业发展。一大批青年教师在各级各类比赛中收获佳绩，教育教学能力水平都得到了显著的提高。</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以不断投入、规范管理、后勤服务，提升装备效能</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学校树立“后勤服务”与“学生发展”相结合的育人理念，积极发挥后勤服务的育人功能。</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1.</w:t>
            </w:r>
            <w:r>
              <w:rPr>
                <w:rFonts w:hint="eastAsia" w:ascii="仿宋_GB2312" w:hAnsi="仿宋_GB2312" w:eastAsia="仿宋_GB2312" w:cs="仿宋_GB2312"/>
                <w:b/>
                <w:sz w:val="24"/>
                <w:szCs w:val="24"/>
              </w:rPr>
              <w:t>坚持强基固本。</w:t>
            </w:r>
            <w:r>
              <w:rPr>
                <w:rFonts w:hint="eastAsia" w:ascii="仿宋_GB2312" w:hAnsi="仿宋_GB2312" w:eastAsia="仿宋_GB2312" w:cs="仿宋_GB2312"/>
                <w:sz w:val="24"/>
                <w:szCs w:val="24"/>
              </w:rPr>
              <w:t>一是实施扩建工程。投入资金200多万元，改造运动场。二是建设数字校园。建设数字化学习平台，配置多媒体设备。三是加快环境建设。近年中，学校改善了一批学生学习活动环境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为丰富学生学习生活，促进教育资源均衡提供了物质支撑。</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落实使用制度。</w:t>
            </w:r>
            <w:r>
              <w:rPr>
                <w:rFonts w:hint="eastAsia" w:ascii="仿宋_GB2312" w:hAnsi="仿宋_GB2312" w:eastAsia="仿宋_GB2312" w:cs="仿宋_GB2312"/>
                <w:sz w:val="24"/>
                <w:szCs w:val="24"/>
              </w:rPr>
              <w:t>学校制定各专用教室的使用要求和制度，各室有明细帐目，物品分类存放，整齐规范，定期保养，损坏及时维修。提高学校图书的使用频率，发挥学校图书的应用效能，提高多媒体的利用率，提升装备效能。</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重视安全教育。</w:t>
            </w:r>
            <w:r>
              <w:rPr>
                <w:rFonts w:hint="eastAsia" w:ascii="仿宋_GB2312" w:hAnsi="仿宋_GB2312" w:eastAsia="仿宋_GB2312" w:cs="仿宋_GB2312"/>
                <w:sz w:val="24"/>
                <w:szCs w:val="24"/>
              </w:rPr>
              <w:t>学校建立了以校长为领导，以总务处为主管的后勤服务管理体系。确立为教育教学和师生服务的观念，努力为教育教学一线服务。完善后勤管理制度，制定各专用教室的使用要求和制度。严格财务管理，规范收费，公开收费项目与标准，杜绝乱收费。学校制定切实可行的学校安全卫生管理制度。在师生中开展防火防震疏散逃生演练，防患于未然。</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意见与</w:t>
            </w:r>
            <w:r>
              <w:rPr>
                <w:rFonts w:hint="eastAsia" w:ascii="仿宋_GB2312" w:hAnsi="仿宋_GB2312" w:eastAsia="仿宋_GB2312" w:cs="仿宋_GB2312"/>
                <w:b/>
                <w:sz w:val="24"/>
                <w:szCs w:val="24"/>
              </w:rPr>
              <w:t>建议</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考察以往的业绩，展望未来的发展，我们感到，延陵小学有着很好的发展基础和发展潜力。着眼学校进一步提高办学水平，在全面实施素质教育过程中再创新佳绩、再出新成果，现提出如下几点意见建议：</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1.要进一步提升学校发展的品位，丰富学校发展的内涵。</w:t>
            </w:r>
            <w:r>
              <w:rPr>
                <w:rFonts w:hint="eastAsia" w:ascii="仿宋_GB2312" w:hAnsi="仿宋_GB2312" w:eastAsia="仿宋_GB2312" w:cs="仿宋_GB2312"/>
                <w:sz w:val="24"/>
                <w:szCs w:val="24"/>
              </w:rPr>
              <w:t>建议学校要在认清国家教育发展综合改革宏观背景的基础上，在以提高质量为核心的教育发展观的统领之下，对学校发展的制度建构、文化建设、教学改革、质量提升、队伍建设等方面作更高层次的设计和系统规划。学校应对“回归儿童，发展儿童”办学理念下的改革发展思路、教育价值体系、实践操作策略等作深入的研究和顶层设计并将此落小、落细、落实。尤其是要对课程体系、课堂的教学范式、实施路径等进行全面建构，提升学校发展的品位，丰富学校发展的内涵，深化学校办学的特色。</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2.要进一步加强教师队伍的建设，建构骨干培养的机制。</w:t>
            </w:r>
            <w:r>
              <w:rPr>
                <w:rFonts w:hint="eastAsia" w:ascii="仿宋_GB2312" w:hAnsi="仿宋_GB2312" w:eastAsia="仿宋_GB2312" w:cs="仿宋_GB2312"/>
                <w:sz w:val="24"/>
                <w:szCs w:val="24"/>
              </w:rPr>
              <w:t>学校应根据教师成长与发展的内生规律，不断引领教师转变教育观念，加强教师的培训和培养；要建构具有激励功能的名优教师培养和发挥作用的机制，加大各级骨干教师的培养力度，为教育的优质、均衡发展提供智力支持和队伍支撑；要整体提升学校教师队伍的素质，提升教师教学改革与课程实施水平，课堂教学力求实现“建构知识、提升能力、启迪智慧”的价值追求，将延陵小学的全课程打造成全人、全时空、全方位、全身心的有文化和高效率的课堂，以更好的提升教育教学的质量。</w:t>
            </w:r>
          </w:p>
          <w:p>
            <w:pPr>
              <w:keepNext w:val="0"/>
              <w:keepLines w:val="0"/>
              <w:pageBreakBefore w:val="0"/>
              <w:widowControl w:val="0"/>
              <w:kinsoku/>
              <w:wordWrap/>
              <w:overflowPunct/>
              <w:topLinePunct w:val="0"/>
              <w:autoSpaceDE/>
              <w:autoSpaceDN/>
              <w:bidi w:val="0"/>
              <w:adjustRightInd/>
              <w:snapToGrid/>
              <w:spacing w:line="267" w:lineRule="exact"/>
              <w:ind w:left="0" w:leftChars="0" w:right="0" w:rightChars="0" w:firstLine="482" w:firstLineChars="200"/>
              <w:textAlignment w:val="auto"/>
              <w:outlineLvl w:val="9"/>
              <w:rPr>
                <w:rFonts w:hint="eastAsia" w:ascii="华文中宋" w:hAnsi="华文中宋" w:eastAsia="华文中宋" w:cs="华文中宋"/>
                <w:b w:val="0"/>
                <w:bCs w:val="0"/>
                <w:sz w:val="28"/>
                <w:szCs w:val="28"/>
                <w:vertAlign w:val="baseline"/>
                <w:lang w:eastAsia="zh-CN"/>
              </w:rPr>
            </w:pPr>
            <w:r>
              <w:rPr>
                <w:rFonts w:hint="eastAsia" w:ascii="仿宋_GB2312" w:hAnsi="仿宋_GB2312" w:eastAsia="仿宋_GB2312" w:cs="仿宋_GB2312"/>
                <w:b/>
                <w:sz w:val="24"/>
                <w:szCs w:val="24"/>
              </w:rPr>
              <w:t>3.要进一步加大教育经费的投入，改善学校办学的条件。</w:t>
            </w:r>
            <w:r>
              <w:rPr>
                <w:rFonts w:hint="eastAsia" w:ascii="仿宋_GB2312" w:hAnsi="仿宋_GB2312" w:eastAsia="仿宋_GB2312" w:cs="仿宋_GB2312"/>
                <w:sz w:val="24"/>
                <w:szCs w:val="24"/>
              </w:rPr>
              <w:t>要努力把学校办成一所质量更好、品质更优、气质更美的现代化学校，加大教育经费的投入，进一步改善办学条件。就目前而言，学校急需建设一个体育操场，让学生能运动；</w:t>
            </w:r>
            <w:r>
              <w:rPr>
                <w:rFonts w:hint="eastAsia" w:ascii="仿宋_GB2312" w:hAnsi="仿宋_GB2312" w:eastAsia="仿宋_GB2312" w:cs="仿宋_GB2312"/>
                <w:sz w:val="24"/>
                <w:szCs w:val="24"/>
                <w:lang w:eastAsia="zh-CN"/>
              </w:rPr>
              <w:t>积极争取</w:t>
            </w:r>
            <w:r>
              <w:rPr>
                <w:rFonts w:hint="eastAsia" w:ascii="仿宋_GB2312" w:hAnsi="仿宋_GB2312" w:eastAsia="仿宋_GB2312" w:cs="仿宋_GB2312"/>
                <w:sz w:val="24"/>
                <w:szCs w:val="24"/>
              </w:rPr>
              <w:t>师资培训和与课程改革相配套的信息资源建设、文化设施建设所必须的资金</w:t>
            </w:r>
            <w:r>
              <w:rPr>
                <w:rFonts w:hint="eastAsia" w:ascii="仿宋_GB2312" w:hAnsi="仿宋_GB2312" w:eastAsia="仿宋_GB2312" w:cs="仿宋_GB2312"/>
                <w:sz w:val="24"/>
                <w:szCs w:val="24"/>
                <w:lang w:eastAsia="zh-CN"/>
              </w:rPr>
              <w:t>政策</w:t>
            </w:r>
            <w:r>
              <w:rPr>
                <w:rFonts w:hint="eastAsia" w:ascii="仿宋_GB2312" w:hAnsi="仿宋_GB2312" w:eastAsia="仿宋_GB2312" w:cs="仿宋_GB2312"/>
                <w:sz w:val="24"/>
                <w:szCs w:val="24"/>
              </w:rPr>
              <w:t>上的支持，充实学生专用教室的设施和器材，提升学校发展的文化档次。</w:t>
            </w:r>
          </w:p>
        </w:tc>
      </w:tr>
    </w:tbl>
    <w:p>
      <w:pPr>
        <w:jc w:val="center"/>
        <w:rPr>
          <w:rFonts w:hint="eastAsia"/>
          <w:b/>
          <w:sz w:val="28"/>
          <w:szCs w:val="28"/>
          <w:u w:val="single"/>
        </w:rPr>
      </w:pPr>
    </w:p>
    <w:p>
      <w:pPr>
        <w:jc w:val="center"/>
        <w:rPr>
          <w:rFonts w:hint="eastAsia"/>
          <w:b/>
          <w:sz w:val="28"/>
          <w:szCs w:val="28"/>
          <w:u w:val="single"/>
        </w:rPr>
      </w:pPr>
      <w:bookmarkStart w:id="0" w:name="_GoBack"/>
      <w:bookmarkEnd w:id="0"/>
    </w:p>
    <w:p>
      <w:pPr>
        <w:jc w:val="center"/>
        <w:rPr>
          <w:b/>
          <w:sz w:val="28"/>
          <w:szCs w:val="28"/>
        </w:rPr>
      </w:pPr>
      <w:r>
        <w:rPr>
          <w:rFonts w:hint="eastAsia"/>
          <w:b/>
          <w:sz w:val="28"/>
          <w:szCs w:val="28"/>
          <w:u w:val="single"/>
        </w:rPr>
        <w:t>常州市</w:t>
      </w:r>
      <w:r>
        <w:rPr>
          <w:rFonts w:hint="eastAsia"/>
          <w:b/>
          <w:sz w:val="28"/>
          <w:szCs w:val="28"/>
          <w:u w:val="single"/>
          <w:lang w:eastAsia="zh-CN"/>
        </w:rPr>
        <w:t>延陵小学</w:t>
      </w:r>
      <w:r>
        <w:rPr>
          <w:rFonts w:hint="eastAsia"/>
          <w:b/>
          <w:sz w:val="28"/>
          <w:szCs w:val="28"/>
          <w:lang w:eastAsia="zh-CN"/>
        </w:rPr>
        <w:t>素质教育</w:t>
      </w:r>
      <w:r>
        <w:rPr>
          <w:b/>
          <w:sz w:val="28"/>
          <w:szCs w:val="28"/>
        </w:rPr>
        <w:t>督导评估主要扣分</w:t>
      </w:r>
      <w:r>
        <w:rPr>
          <w:rFonts w:hint="eastAsia"/>
          <w:b/>
          <w:sz w:val="28"/>
          <w:szCs w:val="28"/>
          <w:lang w:eastAsia="zh-CN"/>
        </w:rPr>
        <w:t>情况</w:t>
      </w:r>
    </w:p>
    <w:tbl>
      <w:tblPr>
        <w:tblStyle w:val="6"/>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2280"/>
        <w:gridCol w:w="1260"/>
        <w:gridCol w:w="82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Ａ级指标</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Ｂ级指标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C级指标</w:t>
            </w:r>
          </w:p>
        </w:tc>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扣分</w:t>
            </w:r>
          </w:p>
        </w:tc>
        <w:tc>
          <w:tcPr>
            <w:tcW w:w="19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扣分原因或建议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A1办学思想(10分)</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B1教育理念4分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C1</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B2办学思路6分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C2</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A2制度建设（15分）</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B3依法治校3分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C3</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B4规章制度12分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C4—C7</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2608"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A3规范办学（40分）</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B5招生分班4分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C8—C9</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B6课程计划14分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C10—C12</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体育场地不达标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B7作息时间7分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C13—C15</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B8作业考试13分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C16—C19</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B9教育收费2分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C20</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2608" w:type="dxa"/>
            <w:vMerge w:val="restart"/>
            <w:tcBorders>
              <w:top w:val="single" w:color="auto" w:sz="4" w:space="0"/>
              <w:left w:val="single" w:color="auto" w:sz="4" w:space="0"/>
              <w:right w:val="single" w:color="auto" w:sz="4" w:space="0"/>
            </w:tcBorders>
            <w:vAlign w:val="center"/>
          </w:tcPr>
          <w:p>
            <w:pPr>
              <w:spacing w:line="300" w:lineRule="exact"/>
              <w:rPr>
                <w:rFonts w:hint="eastAsia" w:ascii="仿宋_GB2312" w:hAnsi="宋体" w:eastAsia="仿宋_GB2312"/>
                <w:color w:val="000000"/>
                <w:sz w:val="24"/>
                <w:szCs w:val="24"/>
              </w:rPr>
            </w:pPr>
            <w:r>
              <w:rPr>
                <w:rFonts w:hint="eastAsia" w:ascii="仿宋_GB2312" w:hAnsi="宋体" w:eastAsia="仿宋_GB2312"/>
                <w:color w:val="000000"/>
                <w:sz w:val="24"/>
                <w:szCs w:val="24"/>
              </w:rPr>
              <w:t>A4德育与活动(20分)</w:t>
            </w:r>
          </w:p>
        </w:tc>
        <w:tc>
          <w:tcPr>
            <w:tcW w:w="228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B10德育工作10分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C21—C23</w:t>
            </w:r>
          </w:p>
        </w:tc>
        <w:tc>
          <w:tcPr>
            <w:tcW w:w="82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c>
          <w:tcPr>
            <w:tcW w:w="1943"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B11各项活动10分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C24—C25</w:t>
            </w:r>
          </w:p>
        </w:tc>
        <w:tc>
          <w:tcPr>
            <w:tcW w:w="82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A5课堂教学(25分)</w:t>
            </w:r>
          </w:p>
        </w:tc>
        <w:tc>
          <w:tcPr>
            <w:tcW w:w="228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B12教学常规10分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C26—C27</w:t>
            </w:r>
          </w:p>
        </w:tc>
        <w:tc>
          <w:tcPr>
            <w:tcW w:w="82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trPr>
        <w:tc>
          <w:tcPr>
            <w:tcW w:w="2608" w:type="dxa"/>
            <w:vMerge w:val="continue"/>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B13教学改革15分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C28—C30</w:t>
            </w:r>
          </w:p>
        </w:tc>
        <w:tc>
          <w:tcPr>
            <w:tcW w:w="82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p>
        </w:tc>
        <w:tc>
          <w:tcPr>
            <w:tcW w:w="1943"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优课率需进一步提高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A6办学成效(20分)</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B14学生素质10分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C31—C33</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B15特色声誉10分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C34—C35</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A7 A9队伍建设（35分）</w:t>
            </w:r>
          </w:p>
        </w:tc>
        <w:tc>
          <w:tcPr>
            <w:tcW w:w="228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B16师德建设8分</w:t>
            </w:r>
          </w:p>
        </w:tc>
        <w:tc>
          <w:tcPr>
            <w:tcW w:w="1260"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C36—C37</w:t>
            </w:r>
          </w:p>
        </w:tc>
        <w:tc>
          <w:tcPr>
            <w:tcW w:w="825" w:type="dxa"/>
            <w:tcBorders>
              <w:top w:val="single" w:color="auto" w:sz="4" w:space="0"/>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B17业务能力12分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C38—C40</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B20干部队伍8分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C45—C46</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领导班子成员听课未达标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4"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B21教师发展7分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C47—C48</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骨干教师学科覆盖率不达80%；</w:t>
            </w:r>
          </w:p>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课题学科覆盖率不达50%</w:t>
            </w:r>
          </w:p>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vMerge w:val="restart"/>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A8办学条件（15分）</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B18经费投入3分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C41</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exact"/>
        </w:trPr>
        <w:tc>
          <w:tcPr>
            <w:tcW w:w="2608" w:type="dxa"/>
            <w:vMerge w:val="continue"/>
            <w:tcBorders>
              <w:left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sz w:val="24"/>
                <w:szCs w:val="24"/>
              </w:rPr>
            </w:pPr>
            <w:r>
              <w:rPr>
                <w:rFonts w:hint="eastAsia" w:ascii="仿宋_GB2312" w:hAnsi="宋体" w:eastAsia="仿宋_GB2312"/>
                <w:sz w:val="24"/>
                <w:szCs w:val="24"/>
              </w:rPr>
              <w:t>B19设施设备12分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sz w:val="24"/>
                <w:szCs w:val="24"/>
              </w:rPr>
              <w:t>C42—C44</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绿化面积、环形跑道不达标；没有卫生室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2608" w:type="dxa"/>
            <w:tcBorders>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合计</w:t>
            </w:r>
          </w:p>
        </w:tc>
        <w:tc>
          <w:tcPr>
            <w:tcW w:w="2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180分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FF"/>
                <w:sz w:val="24"/>
                <w:szCs w:val="24"/>
              </w:rPr>
            </w:pPr>
            <w:r>
              <w:rPr>
                <w:rFonts w:hint="eastAsia" w:ascii="仿宋_GB2312" w:hAnsi="宋体" w:eastAsia="仿宋_GB2312"/>
                <w:color w:val="000000"/>
                <w:sz w:val="24"/>
                <w:szCs w:val="24"/>
              </w:rPr>
              <w:t>48条</w:t>
            </w:r>
          </w:p>
        </w:tc>
        <w:tc>
          <w:tcPr>
            <w:tcW w:w="8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-8</w:t>
            </w:r>
          </w:p>
        </w:tc>
        <w:tc>
          <w:tcPr>
            <w:tcW w:w="1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评估得分：172</w:t>
            </w:r>
          </w:p>
        </w:tc>
      </w:tr>
    </w:tbl>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E63F8"/>
    <w:rsid w:val="03CE63F8"/>
    <w:rsid w:val="06A319B1"/>
    <w:rsid w:val="0B294848"/>
    <w:rsid w:val="18A91CEA"/>
    <w:rsid w:val="19D34B33"/>
    <w:rsid w:val="1F2F0F54"/>
    <w:rsid w:val="27657BAB"/>
    <w:rsid w:val="2B1A3AE3"/>
    <w:rsid w:val="2F692138"/>
    <w:rsid w:val="31197231"/>
    <w:rsid w:val="31EC5343"/>
    <w:rsid w:val="349C290F"/>
    <w:rsid w:val="349E6C08"/>
    <w:rsid w:val="439334C3"/>
    <w:rsid w:val="487A210B"/>
    <w:rsid w:val="4CEF1F7A"/>
    <w:rsid w:val="4DF86B2F"/>
    <w:rsid w:val="50446DF7"/>
    <w:rsid w:val="50684FA0"/>
    <w:rsid w:val="55347500"/>
    <w:rsid w:val="5CBC40E0"/>
    <w:rsid w:val="60B9617D"/>
    <w:rsid w:val="678829A2"/>
    <w:rsid w:val="67F25E70"/>
    <w:rsid w:val="6EF4787D"/>
    <w:rsid w:val="6F1C2021"/>
    <w:rsid w:val="743D7507"/>
    <w:rsid w:val="748A7DA7"/>
    <w:rsid w:val="79E653C9"/>
    <w:rsid w:val="7D056D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2017-06-13T06:53:00Z</dcterms:created>
  <dc:creator>Administrator</dc:creator>
  <cp:lastModifiedBy>Administrator</cp:lastModifiedBy>
  <cp:lastPrinted>2017-06-21T00:44:00Z</cp:lastPrinted>
  <dcterms:modified xsi:type="dcterms:W3CDTF">2017-06-26T07:42:30Z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