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84"/>
          <w:szCs w:val="84"/>
        </w:rPr>
      </w:pPr>
    </w:p>
    <w:p>
      <w:pPr>
        <w:jc w:val="center"/>
        <w:rPr>
          <w:rFonts w:ascii="华文中宋" w:hAnsi="华文中宋" w:eastAsia="华文中宋" w:cs="Times New Roman"/>
          <w:b/>
          <w:bCs/>
          <w:sz w:val="84"/>
          <w:szCs w:val="84"/>
        </w:rPr>
      </w:pPr>
      <w:r>
        <w:rPr>
          <w:rFonts w:hint="eastAsia" w:ascii="华文中宋" w:hAnsi="华文中宋" w:eastAsia="华文中宋" w:cs="华文中宋"/>
          <w:b/>
          <w:bCs/>
          <w:sz w:val="84"/>
          <w:szCs w:val="84"/>
        </w:rPr>
        <w:t>评</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估</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报</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告</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书</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6"/>
        <w:tblW w:w="6068" w:type="dxa"/>
        <w:jc w:val="center"/>
        <w:tblInd w:w="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top w:val="nil"/>
              <w:left w:val="nil"/>
              <w:right w:val="nil"/>
            </w:tcBorders>
            <w:vAlign w:val="bottom"/>
          </w:tcPr>
          <w:p>
            <w:pPr>
              <w:spacing w:line="360" w:lineRule="exact"/>
              <w:jc w:val="center"/>
              <w:rPr>
                <w:rFonts w:ascii="黑体" w:eastAsia="黑体" w:cs="Times New Roman"/>
                <w:sz w:val="32"/>
                <w:szCs w:val="32"/>
              </w:rPr>
            </w:pPr>
            <w:r>
              <w:rPr>
                <w:rFonts w:hint="eastAsia" w:ascii="黑体" w:eastAsia="黑体" w:cs="黑体"/>
                <w:sz w:val="32"/>
                <w:szCs w:val="32"/>
              </w:rPr>
              <w:t>素质教育督导评估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hAnsi="??" w:eastAsia="黑体" w:cs="Times New Roman"/>
                <w:color w:val="000000"/>
                <w:kern w:val="0"/>
                <w:sz w:val="32"/>
                <w:szCs w:val="32"/>
              </w:rPr>
            </w:pPr>
            <w:r>
              <w:rPr>
                <w:rFonts w:hint="eastAsia" w:ascii="黑体" w:hAnsi="??" w:eastAsia="黑体" w:cs="黑体"/>
                <w:color w:val="000000"/>
                <w:kern w:val="0"/>
                <w:sz w:val="32"/>
                <w:szCs w:val="32"/>
              </w:rPr>
              <w:t>常州市解放路小学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Times New Roman"/>
                <w:sz w:val="30"/>
                <w:szCs w:val="30"/>
              </w:rPr>
            </w:pPr>
            <w:r>
              <w:rPr>
                <w:rFonts w:ascii="黑体" w:eastAsia="黑体" w:cs="黑体"/>
                <w:sz w:val="30"/>
                <w:szCs w:val="30"/>
              </w:rPr>
              <w:t>2017</w:t>
            </w:r>
            <w:r>
              <w:rPr>
                <w:rFonts w:hint="eastAsia" w:ascii="黑体" w:eastAsia="黑体" w:cs="黑体"/>
                <w:sz w:val="30"/>
                <w:szCs w:val="30"/>
              </w:rPr>
              <w:t>年</w:t>
            </w:r>
            <w:r>
              <w:rPr>
                <w:rFonts w:ascii="黑体" w:eastAsia="黑体" w:cs="黑体"/>
                <w:sz w:val="30"/>
                <w:szCs w:val="30"/>
              </w:rPr>
              <w:t>5</w:t>
            </w:r>
            <w:r>
              <w:rPr>
                <w:rFonts w:hint="eastAsia" w:ascii="黑体" w:eastAsia="黑体" w:cs="黑体"/>
                <w:sz w:val="30"/>
                <w:szCs w:val="30"/>
              </w:rPr>
              <w:t>月</w:t>
            </w:r>
            <w:r>
              <w:rPr>
                <w:rFonts w:ascii="黑体" w:eastAsia="黑体" w:cs="黑体"/>
                <w:sz w:val="30"/>
                <w:szCs w:val="30"/>
              </w:rPr>
              <w:t>19</w:t>
            </w:r>
            <w:r>
              <w:rPr>
                <w:rFonts w:hint="eastAsia" w:ascii="黑体" w:eastAsia="黑体" w:cs="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黑体"/>
                <w:sz w:val="30"/>
                <w:szCs w:val="30"/>
              </w:rPr>
            </w:pPr>
            <w:r>
              <w:rPr>
                <w:rFonts w:ascii="黑体" w:eastAsia="黑体" w:cs="黑体"/>
                <w:sz w:val="30"/>
                <w:szCs w:val="30"/>
              </w:rPr>
              <w:t>69660627</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44"/>
          <w:szCs w:val="44"/>
        </w:rPr>
      </w:pPr>
      <w:bookmarkStart w:id="0" w:name="_GoBack"/>
      <w:bookmarkEnd w:id="0"/>
    </w:p>
    <w:p>
      <w:pPr>
        <w:jc w:val="center"/>
        <w:rPr>
          <w:rFonts w:cs="Times New Roman"/>
          <w:b/>
          <w:bCs/>
          <w:sz w:val="44"/>
          <w:szCs w:val="44"/>
        </w:rPr>
      </w:pPr>
    </w:p>
    <w:p>
      <w:pPr>
        <w:jc w:val="center"/>
        <w:rPr>
          <w:rFonts w:cs="Times New Roman"/>
          <w:b/>
          <w:bCs/>
          <w:sz w:val="44"/>
          <w:szCs w:val="44"/>
        </w:rPr>
      </w:pPr>
      <w:r>
        <w:rPr>
          <w:rFonts w:hint="eastAsia" w:cs="宋体"/>
          <w:b/>
          <w:bCs/>
          <w:sz w:val="44"/>
          <w:szCs w:val="44"/>
        </w:rPr>
        <w:t>天宁区教育督导室</w:t>
      </w:r>
    </w:p>
    <w:p>
      <w:pPr>
        <w:jc w:val="center"/>
        <w:rPr>
          <w:rFonts w:cs="Times New Roman"/>
          <w:b/>
          <w:bCs/>
          <w:sz w:val="44"/>
          <w:szCs w:val="44"/>
        </w:rPr>
      </w:pPr>
    </w:p>
    <w:p>
      <w:pPr>
        <w:jc w:val="center"/>
        <w:rPr>
          <w:rFonts w:cs="Times New Roman"/>
          <w:b/>
          <w:bCs/>
          <w:sz w:val="44"/>
          <w:szCs w:val="44"/>
        </w:rPr>
      </w:pPr>
    </w:p>
    <w:p>
      <w:pPr>
        <w:jc w:val="center"/>
        <w:rPr>
          <w:rFonts w:hint="eastAsia" w:ascii="宋体" w:hAnsi="宋体" w:cs="宋体"/>
          <w:b/>
          <w:bCs/>
          <w:sz w:val="36"/>
          <w:szCs w:val="36"/>
        </w:rPr>
        <w:sectPr>
          <w:pgSz w:w="11906" w:h="16838"/>
          <w:pgMar w:top="1440" w:right="1800" w:bottom="1440" w:left="1800" w:header="851" w:footer="992" w:gutter="0"/>
          <w:cols w:space="720" w:num="1"/>
          <w:docGrid w:type="lines" w:linePitch="312" w:charSpace="0"/>
        </w:sectPr>
      </w:pPr>
    </w:p>
    <w:p>
      <w:pPr>
        <w:jc w:val="center"/>
        <w:rPr>
          <w:rFonts w:ascii="宋体" w:cs="Times New Roman"/>
          <w:sz w:val="36"/>
          <w:szCs w:val="36"/>
        </w:rPr>
      </w:pPr>
      <w:r>
        <w:rPr>
          <w:rFonts w:hint="eastAsia" w:ascii="宋体" w:hAnsi="宋体" w:cs="宋体"/>
          <w:b/>
          <w:bCs/>
          <w:sz w:val="36"/>
          <w:szCs w:val="36"/>
        </w:rPr>
        <w:t>常州市解放路小学区级素质教育督导评估报告</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ind w:left="113" w:right="113"/>
              <w:jc w:val="center"/>
              <w:rPr>
                <w:rFonts w:ascii="华文中宋" w:hAnsi="华文中宋" w:eastAsia="华文中宋" w:cs="Times New Roman"/>
                <w:sz w:val="28"/>
                <w:szCs w:val="28"/>
              </w:rPr>
            </w:pPr>
            <w:r>
              <w:rPr>
                <w:rFonts w:hint="eastAsia" w:ascii="宋体" w:hAnsi="宋体" w:cs="宋体"/>
                <w:sz w:val="28"/>
                <w:szCs w:val="28"/>
              </w:rPr>
              <w:t>评</w:t>
            </w:r>
            <w:r>
              <w:rPr>
                <w:rFonts w:ascii="宋体" w:hAnsi="宋体" w:cs="宋体"/>
                <w:sz w:val="28"/>
                <w:szCs w:val="28"/>
              </w:rPr>
              <w:t xml:space="preserve"> </w:t>
            </w:r>
            <w:r>
              <w:rPr>
                <w:rFonts w:hint="eastAsia" w:ascii="宋体" w:hAnsi="宋体" w:cs="宋体"/>
                <w:sz w:val="28"/>
                <w:szCs w:val="28"/>
              </w:rPr>
              <w:t>估</w:t>
            </w:r>
            <w:r>
              <w:rPr>
                <w:rFonts w:ascii="宋体" w:hAnsi="宋体" w:cs="宋体"/>
                <w:sz w:val="28"/>
                <w:szCs w:val="28"/>
              </w:rPr>
              <w:t xml:space="preserve"> </w:t>
            </w:r>
            <w:r>
              <w:rPr>
                <w:rFonts w:hint="eastAsia" w:ascii="宋体" w:hAnsi="宋体" w:cs="宋体"/>
                <w:sz w:val="28"/>
                <w:szCs w:val="28"/>
              </w:rPr>
              <w:t>组</w:t>
            </w:r>
            <w:r>
              <w:rPr>
                <w:rFonts w:ascii="宋体" w:hAnsi="宋体" w:cs="宋体"/>
                <w:sz w:val="28"/>
                <w:szCs w:val="28"/>
              </w:rPr>
              <w:t xml:space="preserve"> </w:t>
            </w:r>
            <w:r>
              <w:rPr>
                <w:rFonts w:hint="eastAsia" w:ascii="宋体" w:hAnsi="宋体" w:cs="宋体"/>
                <w:sz w:val="28"/>
                <w:szCs w:val="28"/>
              </w:rPr>
              <w:t>成</w:t>
            </w:r>
            <w:r>
              <w:rPr>
                <w:rFonts w:ascii="宋体" w:hAnsi="宋体" w:cs="宋体"/>
                <w:sz w:val="28"/>
                <w:szCs w:val="28"/>
              </w:rPr>
              <w:t xml:space="preserve"> </w:t>
            </w:r>
            <w:r>
              <w:rPr>
                <w:rFonts w:hint="eastAsia" w:ascii="宋体" w:hAnsi="宋体" w:cs="宋体"/>
                <w:sz w:val="28"/>
                <w:szCs w:val="28"/>
              </w:rPr>
              <w:t>员</w:t>
            </w: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组长</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林志明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组员</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金磊、朱燕芬、施璐嘉、吕荣法、汤海燕、李纯德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联络员</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gridSpan w:val="3"/>
            <w:vAlign w:val="center"/>
          </w:tcPr>
          <w:p>
            <w:pPr>
              <w:spacing w:afterLines="50" w:line="360" w:lineRule="auto"/>
              <w:jc w:val="center"/>
              <w:rPr>
                <w:rFonts w:ascii="华文中宋" w:hAnsi="华文中宋" w:eastAsia="华文中宋" w:cs="Times New Roman"/>
                <w:sz w:val="28"/>
                <w:szCs w:val="28"/>
              </w:rPr>
            </w:pPr>
            <w:r>
              <w:rPr>
                <w:rFonts w:hint="eastAsia" w:ascii="宋体" w:hAnsi="宋体" w:cs="宋体"/>
                <w:sz w:val="28"/>
                <w:szCs w:val="28"/>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gridSpan w:val="3"/>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jc w:val="left"/>
              <w:textAlignment w:val="auto"/>
              <w:outlineLvl w:val="9"/>
              <w:rPr>
                <w:rFonts w:ascii="仿宋_GB2312" w:hAnsi="仿宋_GB2312" w:eastAsia="仿宋_GB2312" w:cs="Times New Roman"/>
                <w:sz w:val="24"/>
                <w:szCs w:val="24"/>
              </w:rPr>
            </w:pPr>
            <w:r>
              <w:rPr>
                <w:rFonts w:ascii="仿宋_GB2312" w:hAnsi="仿宋_GB2312" w:eastAsia="仿宋_GB2312" w:cs="仿宋_GB2312"/>
                <w:sz w:val="32"/>
                <w:szCs w:val="32"/>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color w:val="000000"/>
                <w:kern w:val="0"/>
                <w:sz w:val="24"/>
                <w:szCs w:val="24"/>
                <w:shd w:val="clear" w:color="auto" w:fill="FFFFFF"/>
              </w:rPr>
              <w:t>根据《</w:t>
            </w:r>
            <w:r>
              <w:rPr>
                <w:rFonts w:hint="eastAsia" w:ascii="仿宋_GB2312" w:hAnsi="仿宋_GB2312" w:eastAsia="仿宋_GB2312" w:cs="仿宋_GB2312"/>
                <w:color w:val="000000"/>
                <w:kern w:val="0"/>
                <w:sz w:val="24"/>
                <w:szCs w:val="24"/>
                <w:shd w:val="clear" w:color="auto" w:fill="FFFFFF"/>
                <w:lang w:eastAsia="zh-CN"/>
              </w:rPr>
              <w:t>区教育文体局关于开展天宁区第二轮中小学素质教育督导考核的通知</w:t>
            </w:r>
            <w:r>
              <w:rPr>
                <w:rFonts w:hint="eastAsia" w:ascii="仿宋_GB2312" w:hAnsi="仿宋_GB2312" w:eastAsia="仿宋_GB2312" w:cs="仿宋_GB2312"/>
                <w:color w:val="000000"/>
                <w:kern w:val="0"/>
                <w:sz w:val="24"/>
                <w:szCs w:val="24"/>
                <w:shd w:val="clear" w:color="auto" w:fill="FFFFFF"/>
              </w:rPr>
              <w:t>》（常天教〔</w:t>
            </w:r>
            <w:r>
              <w:rPr>
                <w:rFonts w:ascii="仿宋_GB2312" w:hAnsi="仿宋_GB2312" w:eastAsia="仿宋_GB2312" w:cs="仿宋_GB2312"/>
                <w:color w:val="000000"/>
                <w:kern w:val="0"/>
                <w:sz w:val="24"/>
                <w:szCs w:val="24"/>
                <w:shd w:val="clear" w:color="auto" w:fill="FFFFFF"/>
              </w:rPr>
              <w:t>201</w:t>
            </w:r>
            <w:r>
              <w:rPr>
                <w:rFonts w:hint="eastAsia" w:ascii="仿宋_GB2312" w:hAnsi="仿宋_GB2312" w:eastAsia="仿宋_GB2312" w:cs="仿宋_GB2312"/>
                <w:color w:val="000000"/>
                <w:kern w:val="0"/>
                <w:sz w:val="24"/>
                <w:szCs w:val="24"/>
                <w:shd w:val="clear" w:color="auto" w:fill="FFFFFF"/>
                <w:lang w:val="en-US" w:eastAsia="zh-CN"/>
              </w:rPr>
              <w:t>6</w:t>
            </w:r>
            <w:r>
              <w:rPr>
                <w:rFonts w:hint="eastAsia" w:ascii="仿宋_GB2312" w:hAnsi="仿宋_GB2312" w:eastAsia="仿宋_GB2312" w:cs="仿宋_GB2312"/>
                <w:color w:val="000000"/>
                <w:kern w:val="0"/>
                <w:sz w:val="24"/>
                <w:szCs w:val="24"/>
                <w:shd w:val="clear" w:color="auto" w:fill="FFFFFF"/>
              </w:rPr>
              <w:t>〕</w:t>
            </w:r>
            <w:r>
              <w:rPr>
                <w:rFonts w:hint="eastAsia" w:ascii="仿宋_GB2312" w:hAnsi="仿宋_GB2312" w:eastAsia="仿宋_GB2312" w:cs="仿宋_GB2312"/>
                <w:color w:val="000000"/>
                <w:kern w:val="0"/>
                <w:sz w:val="24"/>
                <w:szCs w:val="24"/>
                <w:shd w:val="clear" w:color="auto" w:fill="FFFFFF"/>
                <w:lang w:val="en-US" w:eastAsia="zh-CN"/>
              </w:rPr>
              <w:t>15</w:t>
            </w:r>
            <w:r>
              <w:rPr>
                <w:rFonts w:hint="eastAsia" w:ascii="仿宋_GB2312" w:hAnsi="仿宋_GB2312" w:eastAsia="仿宋_GB2312" w:cs="仿宋_GB2312"/>
                <w:color w:val="000000"/>
                <w:kern w:val="0"/>
                <w:sz w:val="24"/>
                <w:szCs w:val="24"/>
                <w:shd w:val="clear" w:color="auto" w:fill="FFFFFF"/>
              </w:rPr>
              <w:t>号）</w:t>
            </w:r>
            <w:r>
              <w:rPr>
                <w:rFonts w:hint="eastAsia" w:ascii="仿宋_GB2312" w:hAnsi="仿宋_GB2312" w:eastAsia="仿宋_GB2312" w:cs="仿宋_GB2312"/>
                <w:sz w:val="24"/>
                <w:szCs w:val="24"/>
              </w:rPr>
              <w:t>文件精神及区督导评估工作计划，天宁区人民政府教育督导室组成督导评估组，于</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19</w:t>
            </w:r>
            <w:r>
              <w:rPr>
                <w:rFonts w:hint="eastAsia" w:ascii="仿宋_GB2312" w:hAnsi="仿宋_GB2312" w:eastAsia="仿宋_GB2312" w:cs="仿宋_GB2312"/>
                <w:sz w:val="24"/>
                <w:szCs w:val="24"/>
              </w:rPr>
              <w:t>日对常州市解放路小学进行了督导评估。现将现场督导评估工作情况及工作意见报告如下：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一、评估概况</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一天的评估过程中，评估组听取了潘晨阳校长作的《践行解放理念，做最好的自己》的素质教育综合督导自评报告，并就办学思想、制度建设、规范办学、德育活动、课程教学、队伍建设等话题与学校领导班子进行了交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察看了校容校貌、设施设备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观摩了学生的大课间活动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观摩了学生“解放研究院”活动和教师沙龙活动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查阅了与督导评估指标相关的档案资料和原始信息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听随机课7节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其中优秀课5节，占71%；良好课2节，占29%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对30位教师、100位学生进行了问卷调查，对100位家长进行网上问卷调查，满意率98.7%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六年级学生进行了一分钟跳绳技能测试，测试结果：合格100%，优秀36.36%。进行了仰卧起坐测试，合格100%，优秀率63.64%。对五年级2班20名学生进行了实验操作技能及实验室器材资源使用情况抽测，测试结果：总分100分，得92分，教师清晰实验指导要点，且教学细节指导到位，学生操作能力和自主探究能力比较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查阅了1个班语数英作业40本，教师备课笔记30本，校长和教师听课笔记10本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浏览了学校网站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评估组成员根据分工进行了各项考核标准的核实性打分和定性描述，并就现场督评情况与学校领导班子进行了较为深入的反馈交流。</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二、基本情况</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常州市解放路小学诞生于</w:t>
            </w:r>
            <w:r>
              <w:rPr>
                <w:rFonts w:ascii="仿宋_GB2312" w:hAnsi="仿宋_GB2312" w:eastAsia="仿宋_GB2312" w:cs="仿宋_GB2312"/>
                <w:sz w:val="24"/>
                <w:szCs w:val="24"/>
              </w:rPr>
              <w:t>1912</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1980</w:t>
            </w:r>
            <w:r>
              <w:rPr>
                <w:rFonts w:hint="eastAsia" w:ascii="仿宋_GB2312" w:hAnsi="仿宋_GB2312" w:eastAsia="仿宋_GB2312" w:cs="仿宋_GB2312"/>
                <w:sz w:val="24"/>
                <w:szCs w:val="24"/>
              </w:rPr>
              <w:t>年更名为“解放路小学”。</w:t>
            </w:r>
            <w:r>
              <w:rPr>
                <w:rFonts w:ascii="仿宋_GB2312" w:hAnsi="仿宋_GB2312" w:eastAsia="仿宋_GB2312" w:cs="仿宋_GB2312"/>
                <w:sz w:val="24"/>
                <w:szCs w:val="24"/>
              </w:rPr>
              <w:t>2003</w:t>
            </w:r>
            <w:r>
              <w:rPr>
                <w:rFonts w:hint="eastAsia" w:ascii="仿宋_GB2312" w:hAnsi="仿宋_GB2312" w:eastAsia="仿宋_GB2312" w:cs="仿宋_GB2312"/>
                <w:sz w:val="24"/>
                <w:szCs w:val="24"/>
              </w:rPr>
              <w:t>年创建成江苏省实验小学，</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年成立解放路小学教育集团。</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学校现在</w:t>
            </w:r>
            <w:r>
              <w:rPr>
                <w:rFonts w:ascii="仿宋_GB2312" w:hAnsi="仿宋_GB2312" w:eastAsia="仿宋_GB2312" w:cs="仿宋_GB2312"/>
                <w:sz w:val="24"/>
                <w:szCs w:val="24"/>
              </w:rPr>
              <w:t>42</w:t>
            </w:r>
            <w:r>
              <w:rPr>
                <w:rFonts w:hint="eastAsia" w:ascii="仿宋_GB2312" w:hAnsi="仿宋_GB2312" w:eastAsia="仿宋_GB2312" w:cs="仿宋_GB2312"/>
                <w:sz w:val="24"/>
                <w:szCs w:val="24"/>
              </w:rPr>
              <w:t>个教学班，</w:t>
            </w:r>
            <w:r>
              <w:rPr>
                <w:rFonts w:ascii="仿宋_GB2312" w:hAnsi="仿宋_GB2312" w:eastAsia="仿宋_GB2312" w:cs="仿宋_GB2312"/>
                <w:sz w:val="24"/>
                <w:szCs w:val="24"/>
              </w:rPr>
              <w:t>1822</w:t>
            </w:r>
            <w:r>
              <w:rPr>
                <w:rFonts w:hint="eastAsia" w:ascii="仿宋_GB2312" w:hAnsi="仿宋_GB2312" w:eastAsia="仿宋_GB2312" w:cs="仿宋_GB2312"/>
                <w:sz w:val="24"/>
                <w:szCs w:val="24"/>
              </w:rPr>
              <w:t>名学生；在编教职工</w:t>
            </w:r>
            <w:r>
              <w:rPr>
                <w:rFonts w:ascii="仿宋_GB2312" w:hAnsi="仿宋_GB2312" w:eastAsia="仿宋_GB2312" w:cs="仿宋_GB2312"/>
                <w:sz w:val="24"/>
                <w:szCs w:val="24"/>
              </w:rPr>
              <w:t>108</w:t>
            </w:r>
            <w:r>
              <w:rPr>
                <w:rFonts w:hint="eastAsia" w:ascii="仿宋_GB2312" w:hAnsi="仿宋_GB2312" w:eastAsia="仿宋_GB2312" w:cs="仿宋_GB2312"/>
                <w:sz w:val="24"/>
                <w:szCs w:val="24"/>
              </w:rPr>
              <w:t>人，本科及以上学历教师占</w:t>
            </w:r>
            <w:r>
              <w:rPr>
                <w:rFonts w:ascii="仿宋_GB2312" w:hAnsi="仿宋_GB2312" w:eastAsia="仿宋_GB2312" w:cs="仿宋_GB2312"/>
                <w:sz w:val="24"/>
                <w:szCs w:val="24"/>
              </w:rPr>
              <w:t>90.7%</w:t>
            </w:r>
            <w:r>
              <w:rPr>
                <w:rFonts w:hint="eastAsia" w:ascii="仿宋_GB2312" w:hAnsi="仿宋_GB2312" w:eastAsia="仿宋_GB2312" w:cs="仿宋_GB2312"/>
                <w:sz w:val="24"/>
                <w:szCs w:val="24"/>
              </w:rPr>
              <w:t>；六级梯队教师</w:t>
            </w:r>
            <w:r>
              <w:rPr>
                <w:rFonts w:ascii="仿宋_GB2312" w:hAnsi="仿宋_GB2312" w:eastAsia="仿宋_GB2312" w:cs="仿宋_GB2312"/>
                <w:sz w:val="24"/>
                <w:szCs w:val="24"/>
              </w:rPr>
              <w:t>57</w:t>
            </w:r>
            <w:r>
              <w:rPr>
                <w:rFonts w:hint="eastAsia" w:ascii="仿宋_GB2312" w:hAnsi="仿宋_GB2312" w:eastAsia="仿宋_GB2312" w:cs="仿宋_GB2312"/>
                <w:sz w:val="24"/>
                <w:szCs w:val="24"/>
              </w:rPr>
              <w:t>人，占</w:t>
            </w:r>
            <w:r>
              <w:rPr>
                <w:rFonts w:ascii="仿宋_GB2312" w:hAnsi="仿宋_GB2312" w:eastAsia="仿宋_GB2312" w:cs="仿宋_GB2312"/>
                <w:sz w:val="24"/>
                <w:szCs w:val="24"/>
              </w:rPr>
              <w:t>52.7%</w:t>
            </w:r>
            <w:r>
              <w:rPr>
                <w:rFonts w:hint="eastAsia" w:ascii="仿宋_GB2312" w:hAnsi="仿宋_GB2312" w:eastAsia="仿宋_GB2312" w:cs="仿宋_GB2312"/>
                <w:sz w:val="24"/>
                <w:szCs w:val="24"/>
              </w:rPr>
              <w:t>，三年内净增六级梯队教师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名；</w:t>
            </w:r>
            <w:r>
              <w:rPr>
                <w:rFonts w:ascii="仿宋_GB2312" w:hAnsi="仿宋_GB2312" w:eastAsia="仿宋_GB2312" w:cs="仿宋_GB2312"/>
                <w:sz w:val="24"/>
                <w:szCs w:val="24"/>
              </w:rPr>
              <w:t>80%</w:t>
            </w:r>
            <w:r>
              <w:rPr>
                <w:rFonts w:hint="eastAsia" w:ascii="仿宋_GB2312" w:hAnsi="仿宋_GB2312" w:eastAsia="仿宋_GB2312" w:cs="仿宋_GB2312"/>
                <w:sz w:val="24"/>
                <w:szCs w:val="24"/>
              </w:rPr>
              <w:t>以上学科有辖市区骨干教师。</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学校占地面积</w:t>
            </w:r>
            <w:r>
              <w:rPr>
                <w:rFonts w:ascii="仿宋_GB2312" w:hAnsi="仿宋_GB2312" w:eastAsia="仿宋_GB2312" w:cs="仿宋_GB2312"/>
                <w:sz w:val="24"/>
                <w:szCs w:val="24"/>
              </w:rPr>
              <w:t>8818</w:t>
            </w:r>
            <w:r>
              <w:rPr>
                <w:rFonts w:hint="eastAsia" w:ascii="仿宋_GB2312" w:hAnsi="仿宋_GB2312" w:eastAsia="仿宋_GB2312" w:cs="仿宋_GB2312"/>
                <w:sz w:val="24"/>
                <w:szCs w:val="24"/>
              </w:rPr>
              <w:t>平方米，生均占地</w:t>
            </w:r>
            <w:r>
              <w:rPr>
                <w:rFonts w:ascii="仿宋_GB2312" w:hAnsi="仿宋_GB2312" w:eastAsia="仿宋_GB2312" w:cs="仿宋_GB2312"/>
                <w:sz w:val="24"/>
                <w:szCs w:val="24"/>
              </w:rPr>
              <w:t>4.84</w:t>
            </w:r>
            <w:r>
              <w:rPr>
                <w:rFonts w:hint="eastAsia" w:ascii="仿宋_GB2312" w:hAnsi="仿宋_GB2312" w:eastAsia="仿宋_GB2312" w:cs="仿宋_GB2312"/>
                <w:sz w:val="24"/>
                <w:szCs w:val="24"/>
              </w:rPr>
              <w:t>平方米，建筑面积</w:t>
            </w:r>
            <w:r>
              <w:rPr>
                <w:rFonts w:ascii="仿宋_GB2312" w:hAnsi="仿宋_GB2312" w:eastAsia="仿宋_GB2312" w:cs="仿宋_GB2312"/>
                <w:sz w:val="24"/>
                <w:szCs w:val="24"/>
              </w:rPr>
              <w:t>19446</w:t>
            </w:r>
            <w:r>
              <w:rPr>
                <w:rFonts w:hint="eastAsia" w:ascii="仿宋_GB2312" w:hAnsi="仿宋_GB2312" w:eastAsia="仿宋_GB2312" w:cs="仿宋_GB2312"/>
                <w:sz w:val="24"/>
                <w:szCs w:val="24"/>
              </w:rPr>
              <w:t>平方米，生均建筑面积</w:t>
            </w:r>
            <w:r>
              <w:rPr>
                <w:rFonts w:ascii="仿宋_GB2312" w:hAnsi="仿宋_GB2312" w:eastAsia="仿宋_GB2312" w:cs="仿宋_GB2312"/>
                <w:sz w:val="24"/>
                <w:szCs w:val="24"/>
              </w:rPr>
              <w:t>10.67</w:t>
            </w:r>
            <w:r>
              <w:rPr>
                <w:rFonts w:hint="eastAsia" w:ascii="仿宋_GB2312" w:hAnsi="仿宋_GB2312" w:eastAsia="仿宋_GB2312" w:cs="仿宋_GB2312"/>
                <w:sz w:val="24"/>
                <w:szCs w:val="24"/>
              </w:rPr>
              <w:t>平方米；学校有符合教学需求的专用教室、室内体育馆和学生游泳池；有全覆盖的校园网络系统，学生用计算机</w:t>
            </w:r>
            <w:r>
              <w:rPr>
                <w:rFonts w:ascii="仿宋_GB2312" w:hAnsi="仿宋_GB2312" w:eastAsia="仿宋_GB2312" w:cs="仿宋_GB2312"/>
                <w:sz w:val="24"/>
                <w:szCs w:val="24"/>
              </w:rPr>
              <w:t>200</w:t>
            </w:r>
            <w:r>
              <w:rPr>
                <w:rFonts w:hint="eastAsia" w:ascii="仿宋_GB2312" w:hAnsi="仿宋_GB2312" w:eastAsia="仿宋_GB2312" w:cs="仿宋_GB2312"/>
                <w:sz w:val="24"/>
                <w:szCs w:val="24"/>
              </w:rPr>
              <w:t>台，生机比为</w:t>
            </w:r>
            <w:r>
              <w:rPr>
                <w:rFonts w:ascii="仿宋_GB2312" w:hAnsi="仿宋_GB2312" w:eastAsia="仿宋_GB2312" w:cs="仿宋_GB2312"/>
                <w:sz w:val="24"/>
                <w:szCs w:val="24"/>
              </w:rPr>
              <w:t>9.1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；教师用计算机</w:t>
            </w:r>
            <w:r>
              <w:rPr>
                <w:rFonts w:ascii="仿宋_GB2312" w:hAnsi="仿宋_GB2312" w:eastAsia="仿宋_GB2312" w:cs="仿宋_GB2312"/>
                <w:sz w:val="24"/>
                <w:szCs w:val="24"/>
              </w:rPr>
              <w:t>150</w:t>
            </w:r>
            <w:r>
              <w:rPr>
                <w:rFonts w:hint="eastAsia" w:ascii="仿宋_GB2312" w:hAnsi="仿宋_GB2312" w:eastAsia="仿宋_GB2312" w:cs="仿宋_GB2312"/>
                <w:sz w:val="24"/>
                <w:szCs w:val="24"/>
              </w:rPr>
              <w:t>台，师机比</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；学校图书馆藏书</w:t>
            </w:r>
            <w:r>
              <w:rPr>
                <w:rFonts w:ascii="仿宋_GB2312" w:hAnsi="仿宋_GB2312" w:eastAsia="仿宋_GB2312" w:cs="仿宋_GB2312"/>
                <w:sz w:val="24"/>
                <w:szCs w:val="24"/>
              </w:rPr>
              <w:t>46000</w:t>
            </w:r>
            <w:r>
              <w:rPr>
                <w:rFonts w:hint="eastAsia" w:ascii="仿宋_GB2312" w:hAnsi="仿宋_GB2312" w:eastAsia="仿宋_GB2312" w:cs="仿宋_GB2312"/>
                <w:sz w:val="24"/>
                <w:szCs w:val="24"/>
              </w:rPr>
              <w:t>册，生均</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册；校园环境优美，场地校舍充分利用。校园布置体现本校教育主张，整个校园充满生机和活力。</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积淀了丰厚的文化底蕴，以良好的办学传统和鲜明的办学特色享誉社会。在传承中创新，在整合中发展，形成了以“解放”为核心的办学理念，确立了“把学校办成儿童喜欢的实验小学”的发展愿景，“好奇求真”成为解小学生的形象特质，“尚学至范”成为解小教师的气质追求。</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年以来学校先后获得江苏省健康促进学校金牌学校、江苏省头脑奥林匹克课程基地、江苏省优秀少年科学院、常州市公共机构节能示范单位、常州市节水型学校、常州市文明单位、常州市先进基层党组织等区级以上荣誉和团体竞赛奖项</w:t>
            </w:r>
            <w:r>
              <w:rPr>
                <w:rFonts w:ascii="仿宋_GB2312" w:hAnsi="仿宋_GB2312" w:eastAsia="仿宋_GB2312" w:cs="仿宋_GB2312"/>
                <w:sz w:val="24"/>
                <w:szCs w:val="24"/>
              </w:rPr>
              <w:t>53</w:t>
            </w:r>
            <w:r>
              <w:rPr>
                <w:rFonts w:hint="eastAsia" w:ascii="仿宋_GB2312" w:hAnsi="仿宋_GB2312" w:eastAsia="仿宋_GB2312" w:cs="仿宋_GB2312"/>
                <w:sz w:val="24"/>
                <w:szCs w:val="24"/>
              </w:rPr>
              <w:t>项。</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b/>
                <w:bCs/>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三、主要成绩和亮点</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2" w:firstLineChars="200"/>
              <w:textAlignment w:val="auto"/>
              <w:outlineLvl w:val="9"/>
              <w:rPr>
                <w:rFonts w:ascii="仿宋_GB2312" w:hAnsi="仿宋_GB2312" w:eastAsia="仿宋_GB2312" w:cs="Times New Roman"/>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办学思路创新发展，校园文化特色鲜明。</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解放路小学能立足校情，传承并弘扬百年老校的优良传统，正确树立德育为先，能力为重，全面发展的育人理念，积极践行以“解放”为核心的办学理念，致力于培养“好奇求真”的优秀学生。在理念的引领下，制订了学校三年主动发展规划，并通过省级前瞻性课题和部级重点课题的研究加以落实，丰富了学校教育的内涵，提升教师教育的智慧。</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在遵循教育教学规律的前提下，形成特色鲜明的校园文化。一是重组机构，建立发展愿景，培育管理共同体；二是创新制度，营造和谐向上的学习工作环境，为师生主动发展提供舞台。学校以《教师绩效考核方案》为载体，形成绩效评估体系。充分发挥教师的主观能动作用。体现学校管理的“科学”与“民主”。通过“解小诺贝尔奖”培养好奇求真的解小阳光学子；通过“解小姜春芳杯”激发教师自主发展的需求，助推教师创新变革的动力。三是集团办学，推进区域均衡，坚守“以一带多，关系多元，优势互补，共同发展”的价值追求，开展集团发展“五联工程”，作为解小教育集团的领头羊，努力做到在辐射中担当，在共建中引领，在分享中悦纳。</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2" w:firstLineChars="200"/>
              <w:textAlignment w:val="auto"/>
              <w:outlineLvl w:val="9"/>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２</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教师成长土壤肥沃，队伍建设实践开拓。</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通过重大课题：教育部十二五规划重点课题《独“二代”儿童阳光情怀教育的实践研究》和省前瞻性重点项目《互联网＋课堂教学范式的实践和研究》引领教师将课题与专业成长充分对接，探索教育发展规律，为教师专业发展领航。</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学校通过特色课程（头奥课程）的实施，为教师的发展注入了活力，增强了教师的课程意识，提高了教师课程的开发能力。</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学校通过研究工作室和集团工作室、微型讲坛，形成教师成长共同体，通过合作对话与分享交流，促进教师专业成长。解小教师专业成长的全新方式和机制值得学习和推广。</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三年来，学校新增常州市学科带头人４人，骨干教师２人，教坛新秀１人，净增六级梯队教师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人。</w:t>
            </w:r>
            <w:r>
              <w:rPr>
                <w:rFonts w:ascii="仿宋_GB2312" w:hAnsi="仿宋_GB2312" w:eastAsia="仿宋_GB2312" w:cs="仿宋_GB2312"/>
                <w:sz w:val="24"/>
                <w:szCs w:val="24"/>
              </w:rPr>
              <w:t>52</w:t>
            </w:r>
            <w:r>
              <w:rPr>
                <w:rFonts w:hint="eastAsia" w:ascii="仿宋_GB2312" w:hAnsi="仿宋_GB2312" w:eastAsia="仿宋_GB2312" w:cs="仿宋_GB2312"/>
                <w:sz w:val="24"/>
                <w:szCs w:val="24"/>
              </w:rPr>
              <w:t>人次在各级各类基本功、评优课、赛课中获奖，有</w:t>
            </w:r>
            <w:r>
              <w:rPr>
                <w:rFonts w:ascii="仿宋_GB2312" w:hAnsi="仿宋_GB2312" w:eastAsia="仿宋_GB2312" w:cs="仿宋_GB2312"/>
                <w:sz w:val="24"/>
                <w:szCs w:val="24"/>
              </w:rPr>
              <w:t>63</w:t>
            </w:r>
            <w:r>
              <w:rPr>
                <w:rFonts w:hint="eastAsia" w:ascii="仿宋_GB2312" w:hAnsi="仿宋_GB2312" w:eastAsia="仿宋_GB2312" w:cs="仿宋_GB2312"/>
                <w:sz w:val="24"/>
                <w:szCs w:val="24"/>
              </w:rPr>
              <w:t>篇文章在各级各类比赛中获奖，有</w:t>
            </w:r>
            <w:r>
              <w:rPr>
                <w:rFonts w:ascii="仿宋_GB2312" w:hAnsi="仿宋_GB2312" w:eastAsia="仿宋_GB2312" w:cs="仿宋_GB2312"/>
                <w:sz w:val="24"/>
                <w:szCs w:val="24"/>
              </w:rPr>
              <w:t>68</w:t>
            </w:r>
            <w:r>
              <w:rPr>
                <w:rFonts w:hint="eastAsia" w:ascii="仿宋_GB2312" w:hAnsi="仿宋_GB2312" w:eastAsia="仿宋_GB2312" w:cs="仿宋_GB2312"/>
                <w:sz w:val="24"/>
                <w:szCs w:val="24"/>
              </w:rPr>
              <w:t>篇文章发表。</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2" w:firstLineChars="200"/>
              <w:textAlignment w:val="auto"/>
              <w:outlineLvl w:val="9"/>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３</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德育工作扎实丰富，“三自”育人成效显著。</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学校主张德育为先，全员德育的理念，完善班主任、少先队工作机制，渗透课堂德育观，学校通过“三自”（自由、自主、自觉）促进学生健康、快乐、阳光成长。</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通过“</w:t>
            </w:r>
            <w:r>
              <w:rPr>
                <w:rFonts w:ascii="仿宋_GB2312" w:hAnsi="仿宋_GB2312" w:eastAsia="仿宋_GB2312" w:cs="仿宋_GB2312"/>
                <w:sz w:val="24"/>
                <w:szCs w:val="24"/>
              </w:rPr>
              <w:t>126</w:t>
            </w:r>
            <w:r>
              <w:rPr>
                <w:rFonts w:hint="eastAsia" w:ascii="仿宋_GB2312" w:hAnsi="仿宋_GB2312" w:eastAsia="仿宋_GB2312" w:cs="仿宋_GB2312"/>
                <w:sz w:val="24"/>
                <w:szCs w:val="24"/>
              </w:rPr>
              <w:t>空间”（即一场馆、两空间、六个实践基地）、“解放研究院”让学生在学校里时时可研究，人人可参与，处处有创意的环境中自由呼吸。</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通过年级组共同打造的童心走廊、成长节律系列课程，让每个年级彰显缤纷的色彩，促进学生自主生长。</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通过将教室围绕“四大板块·八大项目”的个性设计，班本课程的开发，注重班级建设，让每个孩子都爱尚班级，自觉生命。</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三年来，学校有</w:t>
            </w:r>
            <w:r>
              <w:rPr>
                <w:rFonts w:ascii="仿宋_GB2312" w:hAnsi="仿宋_GB2312" w:eastAsia="仿宋_GB2312" w:cs="仿宋_GB2312"/>
                <w:sz w:val="24"/>
                <w:szCs w:val="24"/>
              </w:rPr>
              <w:t>513</w:t>
            </w:r>
            <w:r>
              <w:rPr>
                <w:rFonts w:hint="eastAsia" w:ascii="仿宋_GB2312" w:hAnsi="仿宋_GB2312" w:eastAsia="仿宋_GB2312" w:cs="仿宋_GB2312"/>
                <w:sz w:val="24"/>
                <w:szCs w:val="24"/>
              </w:rPr>
              <w:t>人次学生在各级各类比赛中获奖，头奥团队先后获得</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个世界冠军，</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个世界亚军，</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个世界季军。《我们的二（</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）班》在</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年第十三届全国中小学校园影视评选活动中荣获一等奖。</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2" w:firstLineChars="200"/>
              <w:textAlignment w:val="auto"/>
              <w:outlineLvl w:val="9"/>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４</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学校管理制度保障，后勤服务规范精细。</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严格执行教育法规政策和上级的有关规定，制定了健全的各项制度，并不断完善、依法自主的实施管理，全面落实《江苏省中小学管理规范》，学校以教学为中心，以落实素质教育为重点而制定了各系列制度，建立了有效的教育质量和学生综合评价机制。有完善的安全、卫生管理制度，突发事件处置预案和事故处理流程，每学期开展“最美安全小卫士”、“最美安全守护神”、“平安班级”评比。近几年来，无重大校方安全责任事故发生，成功创建省级平安校园、省级健康金牌学校。</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学校后勤管理规范。有完善的校产管理、耗材管理制度，专用设备、教室使用、电教设备使用有完整的记录。学校被评为“省级节水型学校”、“常州市公共机构节能示范单位”。</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480" w:firstLineChars="20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学校后勤服务精细。实施后勤服务满意度测评，“最爱十大菜品”评选，每月进行优质服务测评及召开优质服务征求意见会，每月进行一次保安人员、保洁人员、食堂人员培训，各类维修</w:t>
            </w:r>
            <w:r>
              <w:rPr>
                <w:rFonts w:ascii="仿宋_GB2312" w:hAnsi="仿宋_GB2312" w:eastAsia="仿宋_GB2312" w:cs="仿宋_GB2312"/>
                <w:sz w:val="24"/>
                <w:szCs w:val="24"/>
              </w:rPr>
              <w:t>24</w:t>
            </w:r>
            <w:r>
              <w:rPr>
                <w:rFonts w:hint="eastAsia" w:ascii="仿宋_GB2312" w:hAnsi="仿宋_GB2312" w:eastAsia="仿宋_GB2312" w:cs="仿宋_GB2312"/>
                <w:sz w:val="24"/>
                <w:szCs w:val="24"/>
              </w:rPr>
              <w:t>小时回应承诺，及时响应，加以落实。解放路小学的后勤服务是规范精细的。</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hint="eastAsia" w:ascii="仿宋_GB2312" w:hAnsi="仿宋_GB2312" w:eastAsia="仿宋_GB2312" w:cs="仿宋_GB2312"/>
                <w:b/>
                <w:bCs/>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四、问题和建议：</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考察以往的业绩，展望未来的发展，学校有着朴实的发展基础。为了在全面实施素质教育过程</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再创佳绩、再出新成果，现提出如下几点意见建议：</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提升办学品位，进一步发挥引领作用。</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议学校进一步在精细化管理上提升办学品位；在队伍建设上提升办学品位；在特色办学上提升办学品位。“国家课程校本化实施和头脑课程”是“解放课程”的两大支柱，进一步建构、设计出适合每个学生可选择的解小“解放课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进一步优化教师发展机制，拓展教师发展的新高度。</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名校出名师，名师扬名校，建议学校为教师搭建更高的发展平台，注重骨干教师、特色教师、领军教师的培养。一是鼓励学科名师向特级教师迈进。二是鼓励优秀教师有更多个性化的发展。提倡百花盛开，形成解小教师的风格和流派。三是努力优化教师</w:t>
            </w:r>
            <w:r>
              <w:rPr>
                <w:rFonts w:hint="eastAsia" w:ascii="仿宋_GB2312" w:hAnsi="仿宋_GB2312" w:eastAsia="仿宋_GB2312" w:cs="仿宋_GB2312"/>
                <w:sz w:val="24"/>
                <w:szCs w:val="24"/>
                <w:lang w:eastAsia="zh-CN"/>
              </w:rPr>
              <w:t>结</w:t>
            </w:r>
            <w:r>
              <w:rPr>
                <w:rFonts w:hint="eastAsia" w:ascii="仿宋_GB2312" w:hAnsi="仿宋_GB2312" w:eastAsia="仿宋_GB2312" w:cs="仿宋_GB2312"/>
                <w:sz w:val="24"/>
                <w:szCs w:val="24"/>
              </w:rPr>
              <w:t>构，促进各学科</w:t>
            </w:r>
            <w:r>
              <w:rPr>
                <w:rFonts w:hint="eastAsia" w:ascii="仿宋_GB2312" w:hAnsi="仿宋_GB2312" w:eastAsia="仿宋_GB2312" w:cs="仿宋_GB2312"/>
                <w:sz w:val="24"/>
                <w:szCs w:val="24"/>
                <w:lang w:eastAsia="zh-CN"/>
              </w:rPr>
              <w:t>师资</w:t>
            </w:r>
            <w:r>
              <w:rPr>
                <w:rFonts w:hint="eastAsia" w:ascii="仿宋_GB2312" w:hAnsi="仿宋_GB2312" w:eastAsia="仿宋_GB2312" w:cs="仿宋_GB2312"/>
                <w:sz w:val="24"/>
                <w:szCs w:val="24"/>
              </w:rPr>
              <w:t>均衡发展。</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进一步拓展教育思路，以促进集团校的优质均衡发展。</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textAlignment w:val="auto"/>
              <w:outlineLvl w:val="9"/>
              <w:rPr>
                <w:rFonts w:ascii="华文中宋" w:hAnsi="华文中宋" w:eastAsia="华文中宋" w:cs="Times New Roman"/>
                <w:sz w:val="28"/>
                <w:szCs w:val="28"/>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在集团化办学过程中，以“未来视角”和“国际化思维”来谋划学校的发展，创新和探索集团化运行管理机制。</w:t>
            </w:r>
          </w:p>
        </w:tc>
      </w:tr>
    </w:tbl>
    <w:p>
      <w:pPr>
        <w:jc w:val="both"/>
        <w:rPr>
          <w:rFonts w:hint="eastAsia" w:cs="宋体"/>
          <w:b/>
          <w:bCs/>
          <w:sz w:val="28"/>
          <w:szCs w:val="28"/>
          <w:u w:val="single"/>
        </w:rPr>
      </w:pPr>
    </w:p>
    <w:p>
      <w:pPr>
        <w:jc w:val="center"/>
        <w:rPr>
          <w:rFonts w:cs="Times New Roman"/>
          <w:b/>
          <w:bCs/>
          <w:sz w:val="28"/>
          <w:szCs w:val="28"/>
        </w:rPr>
      </w:pPr>
      <w:r>
        <w:rPr>
          <w:rFonts w:hint="eastAsia" w:cs="宋体"/>
          <w:b/>
          <w:bCs/>
          <w:sz w:val="28"/>
          <w:szCs w:val="28"/>
          <w:u w:val="single"/>
        </w:rPr>
        <w:t>常州市解放路小学</w:t>
      </w:r>
      <w:r>
        <w:rPr>
          <w:rFonts w:hint="eastAsia" w:cs="宋体"/>
          <w:b/>
          <w:bCs/>
          <w:sz w:val="28"/>
          <w:szCs w:val="28"/>
        </w:rPr>
        <w:t>素质教育督导评估主要扣分情况</w:t>
      </w:r>
    </w:p>
    <w:tbl>
      <w:tblPr>
        <w:tblStyle w:val="6"/>
        <w:tblW w:w="89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2295"/>
        <w:gridCol w:w="1230"/>
        <w:gridCol w:w="7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Ａ级指标</w:t>
            </w:r>
          </w:p>
        </w:tc>
        <w:tc>
          <w:tcPr>
            <w:tcW w:w="2295"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Ｂ级指标</w:t>
            </w:r>
          </w:p>
        </w:tc>
        <w:tc>
          <w:tcPr>
            <w:tcW w:w="1230" w:type="dxa"/>
            <w:vAlign w:val="center"/>
          </w:tcPr>
          <w:p>
            <w:pPr>
              <w:spacing w:line="300" w:lineRule="exact"/>
              <w:jc w:val="center"/>
              <w:rPr>
                <w:rFonts w:ascii="仿宋_GB2312" w:hAnsi="仿宋_GB2312" w:eastAsia="仿宋_GB2312" w:cs="Times New Roman"/>
                <w:sz w:val="24"/>
                <w:szCs w:val="24"/>
              </w:rPr>
            </w:pPr>
            <w:r>
              <w:rPr>
                <w:rFonts w:ascii="仿宋_GB2312" w:hAnsi="仿宋_GB2312" w:eastAsia="仿宋_GB2312" w:cs="仿宋_GB2312"/>
                <w:sz w:val="24"/>
                <w:szCs w:val="24"/>
              </w:rPr>
              <w:t>C</w:t>
            </w:r>
            <w:r>
              <w:rPr>
                <w:rFonts w:hint="eastAsia" w:ascii="仿宋_GB2312" w:hAnsi="仿宋_GB2312" w:eastAsia="仿宋_GB2312" w:cs="仿宋_GB2312"/>
                <w:sz w:val="24"/>
                <w:szCs w:val="24"/>
              </w:rPr>
              <w:t>级指标</w:t>
            </w:r>
          </w:p>
        </w:tc>
        <w:tc>
          <w:tcPr>
            <w:tcW w:w="705"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w:t>
            </w:r>
          </w:p>
        </w:tc>
        <w:tc>
          <w:tcPr>
            <w:tcW w:w="2239"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447" w:type="dxa"/>
            <w:vMerge w:val="restart"/>
            <w:vAlign w:val="center"/>
          </w:tcPr>
          <w:p>
            <w:pPr>
              <w:spacing w:line="3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A1</w:t>
            </w:r>
            <w:r>
              <w:rPr>
                <w:rFonts w:hint="eastAsia" w:ascii="仿宋_GB2312" w:hAnsi="仿宋_GB2312" w:eastAsia="仿宋_GB2312" w:cs="仿宋_GB2312"/>
                <w:color w:val="000000"/>
                <w:sz w:val="24"/>
                <w:szCs w:val="24"/>
              </w:rPr>
              <w:t>办学思想</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分</w:t>
            </w:r>
            <w:r>
              <w:rPr>
                <w:rFonts w:ascii="仿宋_GB2312" w:hAnsi="仿宋_GB2312" w:eastAsia="仿宋_GB2312" w:cs="仿宋_GB2312"/>
                <w:color w:val="000000"/>
                <w:sz w:val="24"/>
                <w:szCs w:val="24"/>
              </w:rPr>
              <w:t>)</w:t>
            </w:r>
          </w:p>
        </w:tc>
        <w:tc>
          <w:tcPr>
            <w:tcW w:w="2295"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B1</w:t>
            </w:r>
            <w:r>
              <w:rPr>
                <w:rFonts w:hint="eastAsia" w:ascii="仿宋_GB2312" w:hAnsi="仿宋_GB2312" w:eastAsia="仿宋_GB2312" w:cs="仿宋_GB2312"/>
                <w:color w:val="000000"/>
                <w:sz w:val="24"/>
                <w:szCs w:val="24"/>
              </w:rPr>
              <w:t>教育理念</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分</w:t>
            </w:r>
          </w:p>
        </w:tc>
        <w:tc>
          <w:tcPr>
            <w:tcW w:w="1230"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C1</w:t>
            </w:r>
          </w:p>
        </w:tc>
        <w:tc>
          <w:tcPr>
            <w:tcW w:w="705" w:type="dxa"/>
            <w:vAlign w:val="center"/>
          </w:tcPr>
          <w:p>
            <w:pPr>
              <w:spacing w:line="300" w:lineRule="exact"/>
              <w:jc w:val="center"/>
              <w:rPr>
                <w:rFonts w:ascii="仿宋_GB2312" w:hAnsi="仿宋_GB2312" w:eastAsia="仿宋_GB2312" w:cs="Times New Roman"/>
                <w:color w:val="000000"/>
                <w:sz w:val="24"/>
                <w:szCs w:val="24"/>
              </w:rPr>
            </w:pPr>
          </w:p>
        </w:tc>
        <w:tc>
          <w:tcPr>
            <w:tcW w:w="2239" w:type="dxa"/>
            <w:vAlign w:val="center"/>
          </w:tcPr>
          <w:p>
            <w:pPr>
              <w:spacing w:line="300" w:lineRule="exact"/>
              <w:jc w:val="center"/>
              <w:rPr>
                <w:rFonts w:ascii="仿宋_GB2312" w:hAns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仿宋_GB2312" w:eastAsia="仿宋_GB2312" w:cs="Times New Roman"/>
                <w:color w:val="000000"/>
                <w:sz w:val="24"/>
                <w:szCs w:val="24"/>
              </w:rPr>
            </w:pPr>
          </w:p>
        </w:tc>
        <w:tc>
          <w:tcPr>
            <w:tcW w:w="2295"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B2</w:t>
            </w:r>
            <w:r>
              <w:rPr>
                <w:rFonts w:hint="eastAsia" w:ascii="仿宋_GB2312" w:hAnsi="仿宋_GB2312" w:eastAsia="仿宋_GB2312" w:cs="仿宋_GB2312"/>
                <w:color w:val="000000"/>
                <w:sz w:val="24"/>
                <w:szCs w:val="24"/>
              </w:rPr>
              <w:t>办学思路</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分</w:t>
            </w:r>
          </w:p>
        </w:tc>
        <w:tc>
          <w:tcPr>
            <w:tcW w:w="1230"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C2</w:t>
            </w:r>
          </w:p>
        </w:tc>
        <w:tc>
          <w:tcPr>
            <w:tcW w:w="705" w:type="dxa"/>
            <w:vAlign w:val="center"/>
          </w:tcPr>
          <w:p>
            <w:pPr>
              <w:spacing w:line="300" w:lineRule="exact"/>
              <w:jc w:val="center"/>
              <w:rPr>
                <w:rFonts w:ascii="仿宋_GB2312" w:hAnsi="仿宋_GB2312" w:eastAsia="仿宋_GB2312" w:cs="Times New Roman"/>
                <w:color w:val="000000"/>
                <w:sz w:val="24"/>
                <w:szCs w:val="24"/>
              </w:rPr>
            </w:pPr>
          </w:p>
        </w:tc>
        <w:tc>
          <w:tcPr>
            <w:tcW w:w="2239" w:type="dxa"/>
            <w:vAlign w:val="center"/>
          </w:tcPr>
          <w:p>
            <w:pPr>
              <w:spacing w:line="300" w:lineRule="exact"/>
              <w:jc w:val="center"/>
              <w:rPr>
                <w:rFonts w:ascii="仿宋_GB2312" w:hAns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A2</w:t>
            </w:r>
            <w:r>
              <w:rPr>
                <w:rFonts w:hint="eastAsia" w:ascii="仿宋_GB2312" w:hAnsi="宋体" w:eastAsia="仿宋_GB2312" w:cs="仿宋_GB2312"/>
                <w:color w:val="000000"/>
                <w:sz w:val="24"/>
                <w:szCs w:val="24"/>
              </w:rPr>
              <w:t>制度建设（</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B3</w:t>
            </w:r>
            <w:r>
              <w:rPr>
                <w:rFonts w:hint="eastAsia" w:ascii="仿宋_GB2312" w:hAnsi="宋体" w:eastAsia="仿宋_GB2312" w:cs="仿宋_GB2312"/>
                <w:color w:val="000000"/>
                <w:sz w:val="24"/>
                <w:szCs w:val="24"/>
              </w:rPr>
              <w:t>依法治校</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C3</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B4</w:t>
            </w:r>
            <w:r>
              <w:rPr>
                <w:rFonts w:hint="eastAsia" w:ascii="仿宋_GB2312" w:hAnsi="宋体" w:eastAsia="仿宋_GB2312" w:cs="仿宋_GB2312"/>
                <w:color w:val="000000"/>
                <w:sz w:val="24"/>
                <w:szCs w:val="24"/>
              </w:rPr>
              <w:t>规章制度</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C4—C7</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2447"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A3</w:t>
            </w:r>
            <w:r>
              <w:rPr>
                <w:rFonts w:hint="eastAsia" w:ascii="仿宋_GB2312" w:hAnsi="宋体" w:eastAsia="仿宋_GB2312" w:cs="仿宋_GB2312"/>
                <w:color w:val="000000"/>
                <w:sz w:val="24"/>
                <w:szCs w:val="24"/>
              </w:rPr>
              <w:t>规范办学（</w:t>
            </w:r>
            <w:r>
              <w:rPr>
                <w:rFonts w:ascii="仿宋_GB2312" w:hAnsi="宋体" w:eastAsia="仿宋_GB2312" w:cs="仿宋_GB2312"/>
                <w:color w:val="000000"/>
                <w:sz w:val="24"/>
                <w:szCs w:val="24"/>
              </w:rPr>
              <w:t>40</w:t>
            </w:r>
            <w:r>
              <w:rPr>
                <w:rFonts w:hint="eastAsia" w:ascii="仿宋_GB2312" w:hAnsi="宋体" w:eastAsia="仿宋_GB2312" w:cs="仿宋_GB2312"/>
                <w:color w:val="000000"/>
                <w:sz w:val="24"/>
                <w:szCs w:val="24"/>
              </w:rPr>
              <w:t>分）</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B5</w:t>
            </w:r>
            <w:r>
              <w:rPr>
                <w:rFonts w:hint="eastAsia" w:ascii="仿宋_GB2312" w:hAnsi="宋体" w:eastAsia="仿宋_GB2312" w:cs="仿宋_GB2312"/>
                <w:color w:val="000000"/>
                <w:sz w:val="24"/>
                <w:szCs w:val="24"/>
              </w:rPr>
              <w:t>招生分班</w:t>
            </w: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C8—C9</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B6</w:t>
            </w:r>
            <w:r>
              <w:rPr>
                <w:rFonts w:hint="eastAsia" w:ascii="仿宋_GB2312" w:hAnsi="宋体" w:eastAsia="仿宋_GB2312" w:cs="仿宋_GB2312"/>
                <w:color w:val="000000"/>
                <w:sz w:val="24"/>
                <w:szCs w:val="24"/>
              </w:rPr>
              <w:t>课程计划</w:t>
            </w:r>
            <w:r>
              <w:rPr>
                <w:rFonts w:ascii="仿宋_GB2312" w:hAnsi="宋体" w:eastAsia="仿宋_GB2312" w:cs="仿宋_GB2312"/>
                <w:color w:val="000000"/>
                <w:sz w:val="24"/>
                <w:szCs w:val="24"/>
              </w:rPr>
              <w:t>14</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C10—C12</w:t>
            </w:r>
          </w:p>
        </w:tc>
        <w:tc>
          <w:tcPr>
            <w:tcW w:w="705" w:type="dxa"/>
            <w:vAlign w:val="center"/>
          </w:tcPr>
          <w:p>
            <w:pPr>
              <w:spacing w:line="300" w:lineRule="exact"/>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-1</w:t>
            </w:r>
          </w:p>
        </w:tc>
        <w:tc>
          <w:tcPr>
            <w:tcW w:w="2239" w:type="dxa"/>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olor w:val="000000"/>
                <w:sz w:val="24"/>
                <w:szCs w:val="24"/>
                <w:lang w:val="en-US" w:eastAsia="zh-CN"/>
              </w:rPr>
              <w:t>体育场地不达标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B7</w:t>
            </w:r>
            <w:r>
              <w:rPr>
                <w:rFonts w:hint="eastAsia" w:ascii="仿宋_GB2312" w:hAnsi="宋体" w:eastAsia="仿宋_GB2312" w:cs="仿宋_GB2312"/>
                <w:color w:val="000000"/>
                <w:sz w:val="24"/>
                <w:szCs w:val="24"/>
              </w:rPr>
              <w:t>作息时间</w:t>
            </w:r>
            <w:r>
              <w:rPr>
                <w:rFonts w:ascii="仿宋_GB2312" w:hAnsi="宋体" w:eastAsia="仿宋_GB2312" w:cs="仿宋_GB2312"/>
                <w:color w:val="000000"/>
                <w:sz w:val="24"/>
                <w:szCs w:val="24"/>
              </w:rPr>
              <w:t>7</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C13—C15</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B8</w:t>
            </w:r>
            <w:r>
              <w:rPr>
                <w:rFonts w:hint="eastAsia" w:ascii="仿宋_GB2312" w:hAnsi="宋体" w:eastAsia="仿宋_GB2312" w:cs="仿宋_GB2312"/>
                <w:color w:val="000000"/>
                <w:sz w:val="24"/>
                <w:szCs w:val="24"/>
              </w:rPr>
              <w:t>作业考试</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C16—C19</w:t>
            </w:r>
          </w:p>
        </w:tc>
        <w:tc>
          <w:tcPr>
            <w:tcW w:w="705"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2239" w:type="dxa"/>
            <w:vAlign w:val="center"/>
          </w:tcPr>
          <w:p>
            <w:pPr>
              <w:spacing w:line="300" w:lineRule="exact"/>
              <w:jc w:val="both"/>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eastAsia="zh-CN"/>
              </w:rPr>
              <w:t>进一步转变学生评价方式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B9</w:t>
            </w:r>
            <w:r>
              <w:rPr>
                <w:rFonts w:hint="eastAsia" w:ascii="仿宋_GB2312" w:hAnsi="宋体" w:eastAsia="仿宋_GB2312" w:cs="仿宋_GB2312"/>
                <w:color w:val="000000"/>
                <w:sz w:val="24"/>
                <w:szCs w:val="24"/>
              </w:rPr>
              <w:t>教育收费</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C20</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2447" w:type="dxa"/>
            <w:vMerge w:val="restart"/>
            <w:vAlign w:val="center"/>
          </w:tcPr>
          <w:p>
            <w:pPr>
              <w:spacing w:line="300" w:lineRule="exact"/>
              <w:rPr>
                <w:rFonts w:ascii="仿宋_GB2312" w:hAnsi="宋体" w:eastAsia="仿宋_GB2312" w:cs="仿宋_GB2312"/>
                <w:color w:val="000000"/>
                <w:sz w:val="24"/>
                <w:szCs w:val="24"/>
              </w:rPr>
            </w:pPr>
            <w:r>
              <w:rPr>
                <w:rFonts w:ascii="仿宋_GB2312" w:hAnsi="宋体" w:eastAsia="仿宋_GB2312" w:cs="仿宋_GB2312"/>
                <w:color w:val="000000"/>
                <w:sz w:val="24"/>
                <w:szCs w:val="24"/>
              </w:rPr>
              <w:t>A4</w:t>
            </w:r>
            <w:r>
              <w:rPr>
                <w:rFonts w:hint="eastAsia" w:ascii="仿宋_GB2312" w:hAnsi="宋体" w:eastAsia="仿宋_GB2312" w:cs="仿宋_GB2312"/>
                <w:color w:val="000000"/>
                <w:sz w:val="24"/>
                <w:szCs w:val="24"/>
              </w:rPr>
              <w:t>德育与活动</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B10</w:t>
            </w:r>
            <w:r>
              <w:rPr>
                <w:rFonts w:hint="eastAsia" w:ascii="仿宋_GB2312" w:hAnsi="宋体" w:eastAsia="仿宋_GB2312" w:cs="仿宋_GB2312"/>
                <w:color w:val="000000"/>
                <w:sz w:val="24"/>
                <w:szCs w:val="24"/>
              </w:rPr>
              <w:t>德育工作</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C21—C23</w:t>
            </w:r>
          </w:p>
        </w:tc>
        <w:tc>
          <w:tcPr>
            <w:tcW w:w="705"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2239"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eastAsia="仿宋_GB2312"/>
                <w:color w:val="000000"/>
                <w:sz w:val="24"/>
                <w:lang w:eastAsia="zh-CN"/>
              </w:rPr>
              <w:t>进一步增强</w:t>
            </w:r>
            <w:r>
              <w:rPr>
                <w:rFonts w:hint="eastAsia" w:ascii="仿宋_GB2312" w:eastAsia="仿宋_GB2312"/>
                <w:color w:val="000000"/>
                <w:sz w:val="24"/>
              </w:rPr>
              <w:t>德育</w:t>
            </w:r>
            <w:r>
              <w:rPr>
                <w:rFonts w:hint="eastAsia" w:ascii="仿宋_GB2312" w:eastAsia="仿宋_GB2312"/>
                <w:color w:val="000000"/>
                <w:sz w:val="24"/>
                <w:lang w:eastAsia="zh-CN"/>
              </w:rPr>
              <w:t>工作</w:t>
            </w:r>
            <w:r>
              <w:rPr>
                <w:rFonts w:hint="eastAsia" w:ascii="仿宋_GB2312" w:eastAsia="仿宋_GB2312"/>
                <w:color w:val="000000"/>
                <w:sz w:val="24"/>
              </w:rPr>
              <w:t>的针对性、实效性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B11</w:t>
            </w:r>
            <w:r>
              <w:rPr>
                <w:rFonts w:hint="eastAsia" w:ascii="仿宋_GB2312" w:hAnsi="宋体" w:eastAsia="仿宋_GB2312" w:cs="仿宋_GB2312"/>
                <w:color w:val="000000"/>
                <w:sz w:val="24"/>
                <w:szCs w:val="24"/>
              </w:rPr>
              <w:t>各项活动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C24—C25</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A5</w:t>
            </w:r>
            <w:r>
              <w:rPr>
                <w:rFonts w:hint="eastAsia" w:ascii="仿宋_GB2312" w:hAnsi="宋体" w:eastAsia="仿宋_GB2312" w:cs="仿宋_GB2312"/>
                <w:color w:val="000000"/>
                <w:sz w:val="24"/>
                <w:szCs w:val="24"/>
              </w:rPr>
              <w:t>课堂教学</w:t>
            </w:r>
            <w:r>
              <w:rPr>
                <w:rFonts w:ascii="仿宋_GB2312" w:hAnsi="宋体" w:eastAsia="仿宋_GB2312" w:cs="仿宋_GB2312"/>
                <w:color w:val="000000"/>
                <w:sz w:val="24"/>
                <w:szCs w:val="24"/>
              </w:rPr>
              <w:t>(25</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B12</w:t>
            </w:r>
            <w:r>
              <w:rPr>
                <w:rFonts w:hint="eastAsia" w:ascii="仿宋_GB2312" w:hAnsi="宋体" w:eastAsia="仿宋_GB2312" w:cs="仿宋_GB2312"/>
                <w:color w:val="000000"/>
                <w:sz w:val="24"/>
                <w:szCs w:val="24"/>
              </w:rPr>
              <w:t>教学常规</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C26—C27</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B13</w:t>
            </w:r>
            <w:r>
              <w:rPr>
                <w:rFonts w:hint="eastAsia" w:ascii="仿宋_GB2312" w:hAnsi="宋体" w:eastAsia="仿宋_GB2312" w:cs="仿宋_GB2312"/>
                <w:color w:val="000000"/>
                <w:sz w:val="24"/>
                <w:szCs w:val="24"/>
              </w:rPr>
              <w:t>教学改革</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C28—C30</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A6</w:t>
            </w:r>
            <w:r>
              <w:rPr>
                <w:rFonts w:hint="eastAsia" w:ascii="仿宋_GB2312" w:hAnsi="宋体" w:eastAsia="仿宋_GB2312" w:cs="仿宋_GB2312"/>
                <w:color w:val="000000"/>
                <w:sz w:val="24"/>
                <w:szCs w:val="24"/>
              </w:rPr>
              <w:t>办学成效</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B14</w:t>
            </w:r>
            <w:r>
              <w:rPr>
                <w:rFonts w:hint="eastAsia" w:ascii="仿宋_GB2312" w:hAnsi="宋体" w:eastAsia="仿宋_GB2312" w:cs="仿宋_GB2312"/>
                <w:color w:val="000000"/>
                <w:sz w:val="24"/>
                <w:szCs w:val="24"/>
              </w:rPr>
              <w:t>学生素质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C31—C33</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B15</w:t>
            </w:r>
            <w:r>
              <w:rPr>
                <w:rFonts w:hint="eastAsia" w:ascii="仿宋_GB2312" w:hAnsi="宋体" w:eastAsia="仿宋_GB2312" w:cs="仿宋_GB2312"/>
                <w:color w:val="000000"/>
                <w:sz w:val="24"/>
                <w:szCs w:val="24"/>
              </w:rPr>
              <w:t>特色声誉</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C34—C35</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A7 A9</w:t>
            </w:r>
            <w:r>
              <w:rPr>
                <w:rFonts w:hint="eastAsia" w:ascii="仿宋_GB2312" w:hAnsi="宋体" w:eastAsia="仿宋_GB2312" w:cs="仿宋_GB2312"/>
                <w:color w:val="000000"/>
                <w:sz w:val="24"/>
                <w:szCs w:val="24"/>
              </w:rPr>
              <w:t>队伍建设（</w:t>
            </w:r>
            <w:r>
              <w:rPr>
                <w:rFonts w:ascii="仿宋_GB2312" w:hAnsi="宋体" w:eastAsia="仿宋_GB2312" w:cs="仿宋_GB2312"/>
                <w:color w:val="000000"/>
                <w:sz w:val="24"/>
                <w:szCs w:val="24"/>
              </w:rPr>
              <w:t>35</w:t>
            </w:r>
            <w:r>
              <w:rPr>
                <w:rFonts w:hint="eastAsia" w:ascii="仿宋_GB2312" w:hAnsi="宋体" w:eastAsia="仿宋_GB2312" w:cs="仿宋_GB2312"/>
                <w:color w:val="000000"/>
                <w:sz w:val="24"/>
                <w:szCs w:val="24"/>
              </w:rPr>
              <w:t>分）</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B16</w:t>
            </w:r>
            <w:r>
              <w:rPr>
                <w:rFonts w:hint="eastAsia" w:ascii="仿宋_GB2312" w:hAnsi="宋体" w:eastAsia="仿宋_GB2312" w:cs="仿宋_GB2312"/>
                <w:color w:val="000000"/>
                <w:sz w:val="24"/>
                <w:szCs w:val="24"/>
              </w:rPr>
              <w:t>师德建设</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C36—C37</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B17</w:t>
            </w:r>
            <w:r>
              <w:rPr>
                <w:rFonts w:hint="eastAsia" w:ascii="仿宋_GB2312" w:hAnsi="宋体" w:eastAsia="仿宋_GB2312" w:cs="仿宋_GB2312"/>
                <w:color w:val="000000"/>
                <w:sz w:val="24"/>
                <w:szCs w:val="24"/>
              </w:rPr>
              <w:t>业务能力</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C38—C40</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B20</w:t>
            </w:r>
            <w:r>
              <w:rPr>
                <w:rFonts w:hint="eastAsia" w:ascii="仿宋_GB2312" w:hAnsi="宋体" w:eastAsia="仿宋_GB2312" w:cs="仿宋_GB2312"/>
                <w:sz w:val="24"/>
                <w:szCs w:val="24"/>
              </w:rPr>
              <w:t>干部队伍</w:t>
            </w:r>
            <w:r>
              <w:rPr>
                <w:rFonts w:ascii="仿宋_GB2312" w:hAnsi="宋体" w:eastAsia="仿宋_GB2312" w:cs="仿宋_GB2312"/>
                <w:sz w:val="24"/>
                <w:szCs w:val="24"/>
              </w:rPr>
              <w:t>8</w:t>
            </w:r>
            <w:r>
              <w:rPr>
                <w:rFonts w:hint="eastAsia" w:ascii="仿宋_GB2312" w:hAnsi="宋体" w:eastAsia="仿宋_GB2312" w:cs="仿宋_GB2312"/>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C45—C46</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B21</w:t>
            </w:r>
            <w:r>
              <w:rPr>
                <w:rFonts w:hint="eastAsia" w:ascii="仿宋_GB2312" w:hAnsi="宋体" w:eastAsia="仿宋_GB2312" w:cs="仿宋_GB2312"/>
                <w:sz w:val="24"/>
                <w:szCs w:val="24"/>
              </w:rPr>
              <w:t>教师发展</w:t>
            </w:r>
            <w:r>
              <w:rPr>
                <w:rFonts w:ascii="仿宋_GB2312" w:hAnsi="宋体" w:eastAsia="仿宋_GB2312" w:cs="仿宋_GB2312"/>
                <w:sz w:val="24"/>
                <w:szCs w:val="24"/>
              </w:rPr>
              <w:t>7</w:t>
            </w:r>
            <w:r>
              <w:rPr>
                <w:rFonts w:hint="eastAsia" w:ascii="仿宋_GB2312" w:hAnsi="宋体" w:eastAsia="仿宋_GB2312" w:cs="仿宋_GB2312"/>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C47—C48</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2447"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A8</w:t>
            </w:r>
            <w:r>
              <w:rPr>
                <w:rFonts w:hint="eastAsia" w:ascii="仿宋_GB2312" w:hAnsi="宋体" w:eastAsia="仿宋_GB2312" w:cs="仿宋_GB2312"/>
                <w:color w:val="000000"/>
                <w:sz w:val="24"/>
                <w:szCs w:val="24"/>
              </w:rPr>
              <w:t>办学条件（</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95"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B18</w:t>
            </w:r>
            <w:r>
              <w:rPr>
                <w:rFonts w:hint="eastAsia" w:ascii="仿宋_GB2312" w:hAnsi="宋体" w:eastAsia="仿宋_GB2312" w:cs="仿宋_GB2312"/>
                <w:sz w:val="24"/>
                <w:szCs w:val="24"/>
              </w:rPr>
              <w:t>经费投入</w:t>
            </w:r>
            <w:r>
              <w:rPr>
                <w:rFonts w:ascii="仿宋_GB2312" w:hAnsi="宋体" w:eastAsia="仿宋_GB2312" w:cs="仿宋_GB2312"/>
                <w:sz w:val="24"/>
                <w:szCs w:val="24"/>
              </w:rPr>
              <w:t>3</w:t>
            </w:r>
            <w:r>
              <w:rPr>
                <w:rFonts w:hint="eastAsia" w:ascii="仿宋_GB2312" w:hAnsi="宋体" w:eastAsia="仿宋_GB2312" w:cs="仿宋_GB2312"/>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C41</w:t>
            </w:r>
          </w:p>
        </w:tc>
        <w:tc>
          <w:tcPr>
            <w:tcW w:w="705" w:type="dxa"/>
            <w:vAlign w:val="center"/>
          </w:tcPr>
          <w:p>
            <w:pPr>
              <w:spacing w:line="300" w:lineRule="exact"/>
              <w:jc w:val="center"/>
              <w:rPr>
                <w:rFonts w:ascii="仿宋_GB2312" w:hAnsi="宋体" w:eastAsia="仿宋_GB2312" w:cs="Times New Roman"/>
                <w:color w:val="000000"/>
                <w:sz w:val="24"/>
                <w:szCs w:val="24"/>
              </w:rPr>
            </w:pPr>
          </w:p>
        </w:tc>
        <w:tc>
          <w:tcPr>
            <w:tcW w:w="2239"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exact"/>
        </w:trPr>
        <w:tc>
          <w:tcPr>
            <w:tcW w:w="2447" w:type="dxa"/>
            <w:vMerge w:val="continue"/>
            <w:vAlign w:val="center"/>
          </w:tcPr>
          <w:p>
            <w:pPr>
              <w:spacing w:line="300" w:lineRule="exact"/>
              <w:jc w:val="center"/>
              <w:rPr>
                <w:rFonts w:ascii="仿宋_GB2312" w:hAnsi="宋体" w:eastAsia="仿宋_GB2312" w:cs="Times New Roman"/>
                <w:color w:val="000000"/>
                <w:sz w:val="24"/>
                <w:szCs w:val="24"/>
              </w:rPr>
            </w:pPr>
          </w:p>
        </w:tc>
        <w:tc>
          <w:tcPr>
            <w:tcW w:w="2295"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B19</w:t>
            </w:r>
            <w:r>
              <w:rPr>
                <w:rFonts w:hint="eastAsia" w:ascii="仿宋_GB2312" w:hAnsi="宋体" w:eastAsia="仿宋_GB2312" w:cs="仿宋_GB2312"/>
                <w:sz w:val="24"/>
                <w:szCs w:val="24"/>
              </w:rPr>
              <w:t>设施设备</w:t>
            </w:r>
            <w:r>
              <w:rPr>
                <w:rFonts w:ascii="仿宋_GB2312" w:hAnsi="宋体" w:eastAsia="仿宋_GB2312" w:cs="仿宋_GB2312"/>
                <w:sz w:val="24"/>
                <w:szCs w:val="24"/>
              </w:rPr>
              <w:t>12</w:t>
            </w:r>
            <w:r>
              <w:rPr>
                <w:rFonts w:hint="eastAsia" w:ascii="仿宋_GB2312" w:hAnsi="宋体" w:eastAsia="仿宋_GB2312" w:cs="仿宋_GB2312"/>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C42—C44</w:t>
            </w:r>
          </w:p>
        </w:tc>
        <w:tc>
          <w:tcPr>
            <w:tcW w:w="705"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lang w:val="en-US" w:eastAsia="zh-CN"/>
              </w:rPr>
              <w:t>1</w:t>
            </w:r>
          </w:p>
        </w:tc>
        <w:tc>
          <w:tcPr>
            <w:tcW w:w="2239"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生均占地面积不足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447" w:type="dxa"/>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合计</w:t>
            </w:r>
          </w:p>
        </w:tc>
        <w:tc>
          <w:tcPr>
            <w:tcW w:w="2295"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180</w:t>
            </w:r>
            <w:r>
              <w:rPr>
                <w:rFonts w:hint="eastAsia" w:ascii="仿宋_GB2312" w:hAnsi="宋体" w:eastAsia="仿宋_GB2312" w:cs="仿宋_GB2312"/>
                <w:color w:val="000000"/>
                <w:sz w:val="24"/>
                <w:szCs w:val="24"/>
              </w:rPr>
              <w:t>分</w:t>
            </w:r>
          </w:p>
        </w:tc>
        <w:tc>
          <w:tcPr>
            <w:tcW w:w="1230"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color w:val="000000"/>
                <w:sz w:val="24"/>
                <w:szCs w:val="24"/>
              </w:rPr>
              <w:t>48</w:t>
            </w:r>
            <w:r>
              <w:rPr>
                <w:rFonts w:hint="eastAsia" w:ascii="仿宋_GB2312" w:hAnsi="宋体" w:eastAsia="仿宋_GB2312" w:cs="仿宋_GB2312"/>
                <w:color w:val="000000"/>
                <w:sz w:val="24"/>
                <w:szCs w:val="24"/>
              </w:rPr>
              <w:t>条</w:t>
            </w:r>
          </w:p>
        </w:tc>
        <w:tc>
          <w:tcPr>
            <w:tcW w:w="705"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lang w:val="en-US" w:eastAsia="zh-CN"/>
              </w:rPr>
              <w:t>4</w:t>
            </w:r>
          </w:p>
        </w:tc>
        <w:tc>
          <w:tcPr>
            <w:tcW w:w="2239" w:type="dxa"/>
            <w:vAlign w:val="center"/>
          </w:tcPr>
          <w:p>
            <w:pPr>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评估得分：</w:t>
            </w:r>
            <w:r>
              <w:rPr>
                <w:rFonts w:ascii="仿宋_GB2312" w:hAnsi="宋体" w:eastAsia="仿宋_GB2312" w:cs="仿宋_GB2312"/>
                <w:color w:val="000000"/>
                <w:sz w:val="24"/>
                <w:szCs w:val="24"/>
              </w:rPr>
              <w:t>17</w:t>
            </w:r>
            <w:r>
              <w:rPr>
                <w:rFonts w:hint="eastAsia" w:ascii="仿宋_GB2312" w:hAnsi="宋体" w:eastAsia="仿宋_GB2312" w:cs="仿宋_GB2312"/>
                <w:color w:val="000000"/>
                <w:sz w:val="24"/>
                <w:szCs w:val="24"/>
                <w:lang w:val="en-US" w:eastAsia="zh-CN"/>
              </w:rPr>
              <w:t>6</w:t>
            </w:r>
          </w:p>
        </w:tc>
      </w:tr>
    </w:tbl>
    <w:p>
      <w:pPr>
        <w:rPr>
          <w:rFonts w:cs="Times New Roma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7930BE"/>
    <w:rsid w:val="000357FA"/>
    <w:rsid w:val="001442AF"/>
    <w:rsid w:val="00234C00"/>
    <w:rsid w:val="002B2A23"/>
    <w:rsid w:val="004518F4"/>
    <w:rsid w:val="00467FBD"/>
    <w:rsid w:val="00522A81"/>
    <w:rsid w:val="0069769D"/>
    <w:rsid w:val="00AF1233"/>
    <w:rsid w:val="00C14535"/>
    <w:rsid w:val="00CE6B1A"/>
    <w:rsid w:val="00E67F7E"/>
    <w:rsid w:val="09BC6A34"/>
    <w:rsid w:val="0B1C3F14"/>
    <w:rsid w:val="0D0E36B6"/>
    <w:rsid w:val="13F21B4C"/>
    <w:rsid w:val="1C1F45B8"/>
    <w:rsid w:val="1DE6471B"/>
    <w:rsid w:val="1E8133BD"/>
    <w:rsid w:val="209D4ACB"/>
    <w:rsid w:val="24D91974"/>
    <w:rsid w:val="256D3185"/>
    <w:rsid w:val="2A720622"/>
    <w:rsid w:val="2DB56053"/>
    <w:rsid w:val="2E362E7E"/>
    <w:rsid w:val="2F7E6C63"/>
    <w:rsid w:val="39F81222"/>
    <w:rsid w:val="3C6D6F0A"/>
    <w:rsid w:val="3C9B33DD"/>
    <w:rsid w:val="3D1700DC"/>
    <w:rsid w:val="45C82C64"/>
    <w:rsid w:val="487930BE"/>
    <w:rsid w:val="4EE55503"/>
    <w:rsid w:val="50B50971"/>
    <w:rsid w:val="5A0D626D"/>
    <w:rsid w:val="68C65448"/>
    <w:rsid w:val="715240D3"/>
    <w:rsid w:val="7ABB6A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99"/>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5</Pages>
  <Words>640</Words>
  <Characters>3654</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2017-06-13T03:07:00Z</dcterms:created>
  <dc:creator>Administrator</dc:creator>
  <cp:lastModifiedBy>Administrator</cp:lastModifiedBy>
  <cp:lastPrinted>2017-06-21T00:42:00Z</cp:lastPrinted>
  <dcterms:modified xsi:type="dcterms:W3CDTF">2018-06-04T07:09:13Z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