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二（4）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张玉霞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刁亿豪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2021.4.8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漕桥东苑小区5栋101室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13347928130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学生来自河南信阳，家里还有个八个月大的小孩，父亲跑销售，母亲和外婆照看着小孩和料理着全家的起食应居，孩子脑子反应较快，比较好动，不够专心认真。有一个爱好喜欢下棋。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吃了晚饭，按照上午电话约好的时间感到学生家中，与学生妈妈进行了学生在校在家情况反馈，发放了学校大家访宣传手册，就孩子学习方法，促进进步方面共同探讨和交换了看法和提出了一些建议。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希望老师严格要求孩子，家校配合促进孩子健康成长。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tbl_2(0);
</file>