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spacing w:line="360" w:lineRule="exact"/>
              <w:jc w:val="center"/>
              <w:rPr>
                <w:rFonts w:hint="eastAsia" w:ascii="仿宋_GB2312" w:eastAsia="仿宋_GB2312"/>
                <w:sz w:val="28"/>
                <w:lang w:val="en-US" w:eastAsia="zh-CN"/>
              </w:rPr>
            </w:pPr>
            <w:r>
              <w:rPr>
                <w:rFonts w:hint="eastAsia" w:ascii="仿宋_GB2312" w:eastAsia="仿宋_GB2312"/>
                <w:sz w:val="28"/>
                <w:lang w:val="en-US" w:eastAsia="zh-CN"/>
              </w:rPr>
              <w:t>包倩</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女</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hint="eastAsia" w:eastAsia="仿宋_GB2312"/>
                <w:sz w:val="28"/>
                <w:lang w:eastAsia="zh-CN"/>
              </w:rPr>
            </w:pPr>
            <w:r>
              <w:rPr>
                <w:rFonts w:hint="eastAsia" w:eastAsia="仿宋_GB2312"/>
                <w:sz w:val="28"/>
                <w:lang w:eastAsia="zh-CN"/>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1984.12</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江苏</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hint="eastAsia" w:eastAsia="仿宋_GB2312"/>
                <w:sz w:val="24"/>
                <w:lang w:eastAsia="zh-CN"/>
              </w:rPr>
            </w:pPr>
            <w:r>
              <w:rPr>
                <w:rFonts w:hint="eastAsia" w:eastAsia="仿宋_GB2312"/>
                <w:sz w:val="24"/>
                <w:lang w:eastAsia="zh-CN"/>
              </w:rPr>
              <w:t>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2005.08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硕士</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hint="eastAsia" w:eastAsia="仿宋_GB2312"/>
                <w:sz w:val="28"/>
                <w:lang w:eastAsia="zh-CN"/>
              </w:rPr>
            </w:pPr>
            <w:r>
              <w:rPr>
                <w:rFonts w:hint="eastAsia" w:eastAsia="仿宋_GB2312"/>
                <w:sz w:val="28"/>
                <w:lang w:eastAsia="zh-CN"/>
              </w:rPr>
              <w:t>大队辅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中学一级</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数学</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eastAsia="zh-CN"/>
              </w:rPr>
            </w:pPr>
            <w:r>
              <w:rPr>
                <w:rFonts w:hint="eastAsia" w:eastAsia="仿宋_GB2312"/>
                <w:sz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pStyle w:val="2"/>
              <w:spacing w:line="440" w:lineRule="exact"/>
              <w:ind w:left="0" w:leftChars="0" w:firstLine="280" w:firstLineChars="100"/>
              <w:rPr>
                <w:rFonts w:hint="eastAsia" w:eastAsia="宋体"/>
                <w:sz w:val="24"/>
                <w:lang w:eastAsia="zh-CN"/>
              </w:rPr>
            </w:pPr>
            <w:r>
              <w:rPr>
                <w:rFonts w:hint="eastAsia"/>
                <w:color w:val="000000"/>
                <w:sz w:val="28"/>
                <w:szCs w:val="28"/>
              </w:rPr>
              <w:t>本人参加工作</w:t>
            </w:r>
            <w:r>
              <w:rPr>
                <w:rFonts w:hint="eastAsia"/>
                <w:color w:val="000000"/>
                <w:sz w:val="28"/>
                <w:szCs w:val="28"/>
                <w:lang w:val="en-US" w:eastAsia="zh-CN"/>
              </w:rPr>
              <w:t>16</w:t>
            </w:r>
            <w:r>
              <w:rPr>
                <w:rFonts w:hint="eastAsia"/>
                <w:color w:val="000000"/>
                <w:sz w:val="28"/>
                <w:szCs w:val="28"/>
              </w:rPr>
              <w:t>年来，一直从事小学</w:t>
            </w:r>
            <w:r>
              <w:rPr>
                <w:rFonts w:hint="eastAsia"/>
                <w:color w:val="000000"/>
                <w:sz w:val="28"/>
                <w:szCs w:val="28"/>
                <w:lang w:eastAsia="zh-CN"/>
              </w:rPr>
              <w:t>数学</w:t>
            </w:r>
            <w:r>
              <w:rPr>
                <w:rFonts w:hint="eastAsia"/>
                <w:color w:val="000000"/>
                <w:sz w:val="28"/>
                <w:szCs w:val="28"/>
              </w:rPr>
              <w:t>的教学工作，我的优点是能热情对待工作，有很强的责任心，也有一定的教学工作经验。</w:t>
            </w:r>
            <w:r>
              <w:rPr>
                <w:rFonts w:hint="eastAsia"/>
                <w:color w:val="000000"/>
                <w:sz w:val="28"/>
                <w:szCs w:val="28"/>
                <w:lang w:eastAsia="zh-CN"/>
              </w:rPr>
              <w:t>有团队协作精神，能与时俱进，能认真完成教育教学的各项工作，做到有条理、有效果。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bottom"/>
          </w:tcPr>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1、工作目标不是十分清晰，工作措施不是十分具体，工作上易受情绪的波动而变化。</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2、教学基本功不</w:t>
            </w:r>
            <w:r>
              <w:rPr>
                <w:rFonts w:hint="eastAsia" w:cs="Times New Roman"/>
                <w:color w:val="000000"/>
                <w:kern w:val="2"/>
                <w:sz w:val="28"/>
                <w:szCs w:val="28"/>
                <w:lang w:val="en-US" w:eastAsia="zh-CN" w:bidi="ar-SA"/>
              </w:rPr>
              <w:t>够</w:t>
            </w:r>
            <w:r>
              <w:rPr>
                <w:rFonts w:hint="eastAsia" w:ascii="Times New Roman" w:hAnsi="Times New Roman" w:eastAsia="宋体" w:cs="Times New Roman"/>
                <w:color w:val="000000"/>
                <w:kern w:val="2"/>
                <w:sz w:val="28"/>
                <w:szCs w:val="28"/>
                <w:lang w:val="en-US" w:eastAsia="zh-CN" w:bidi="ar-SA"/>
              </w:rPr>
              <w:t>扎实。</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3、整个小学各年级</w:t>
            </w:r>
            <w:r>
              <w:rPr>
                <w:rFonts w:hint="eastAsia" w:cs="Times New Roman"/>
                <w:color w:val="000000"/>
                <w:kern w:val="2"/>
                <w:sz w:val="28"/>
                <w:szCs w:val="28"/>
                <w:lang w:val="en-US" w:eastAsia="zh-CN" w:bidi="ar-SA"/>
              </w:rPr>
              <w:t>数学</w:t>
            </w:r>
            <w:r>
              <w:rPr>
                <w:rFonts w:hint="eastAsia" w:ascii="Times New Roman" w:hAnsi="Times New Roman" w:eastAsia="宋体" w:cs="Times New Roman"/>
                <w:color w:val="000000"/>
                <w:kern w:val="2"/>
                <w:sz w:val="28"/>
                <w:szCs w:val="28"/>
                <w:lang w:val="en-US" w:eastAsia="zh-CN" w:bidi="ar-SA"/>
              </w:rPr>
              <w:t>教学还没能全面把握，缺乏纵横把握的能力。</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4、功底较浅，教育理论、专业知识及个人文化素养不足。</w:t>
            </w:r>
          </w:p>
          <w:p>
            <w:pPr>
              <w:rPr>
                <w:sz w:val="28"/>
              </w:rPr>
            </w:pPr>
          </w:p>
          <w:p>
            <w:pPr>
              <w:rPr>
                <w:sz w:val="28"/>
              </w:rPr>
            </w:pPr>
          </w:p>
          <w:p>
            <w:pPr>
              <w:rPr>
                <w:sz w:val="28"/>
              </w:rPr>
            </w:pPr>
          </w:p>
          <w:p>
            <w:pPr>
              <w:rPr>
                <w:sz w:val="28"/>
              </w:rPr>
            </w:pPr>
          </w:p>
          <w:p>
            <w:pPr>
              <w:rPr>
                <w:sz w:val="28"/>
              </w:rPr>
            </w:pPr>
          </w:p>
          <w:p>
            <w:pPr>
              <w:rPr>
                <w:sz w:val="28"/>
              </w:rPr>
            </w:pPr>
          </w:p>
        </w:tc>
      </w:tr>
    </w:tbl>
    <w:p/>
    <w:p>
      <w:pPr>
        <w:jc w:val="center"/>
      </w:pPr>
      <w:r>
        <w:rPr>
          <w:rFonts w:hint="eastAsia"/>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1、练就扎实的基本功，有较广博的知识，有比较强烈的自我提高欲望。</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2、学习专业化知识、提高专业化技能的自觉性有明显提高。</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3、成为思想素质、教育教学水平比较高的教师。</w:t>
            </w:r>
          </w:p>
          <w:p>
            <w:pPr>
              <w:spacing w:line="460" w:lineRule="exact"/>
              <w:jc w:val="both"/>
              <w:rPr>
                <w:sz w:val="24"/>
              </w:rPr>
            </w:pPr>
            <w:r>
              <w:rPr>
                <w:rFonts w:hint="eastAsia" w:ascii="Times New Roman" w:hAnsi="Times New Roman" w:eastAsia="宋体" w:cs="Times New Roman"/>
                <w:color w:val="000000"/>
                <w:kern w:val="2"/>
                <w:sz w:val="28"/>
                <w:szCs w:val="28"/>
                <w:lang w:val="en-US" w:eastAsia="zh-CN" w:bidi="ar-SA"/>
              </w:rPr>
              <w:t>4、成为能够适应教育改革和学校发展的学习型教师。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1、努力学好现代教育技术，在教学活动中充分发挥信息技术的优势为学生的学习和发展提供丰富多彩的教学环境和有力的学习工具，促进学生更有效地学习</w:t>
            </w:r>
            <w:r>
              <w:rPr>
                <w:rFonts w:hint="eastAsia" w:cs="Times New Roman"/>
                <w:color w:val="000000"/>
                <w:kern w:val="2"/>
                <w:sz w:val="28"/>
                <w:szCs w:val="28"/>
                <w:lang w:val="en-US" w:eastAsia="zh-CN" w:bidi="ar-SA"/>
              </w:rPr>
              <w:t>数学</w:t>
            </w:r>
            <w:r>
              <w:rPr>
                <w:rFonts w:hint="eastAsia" w:ascii="Times New Roman" w:hAnsi="Times New Roman" w:eastAsia="宋体" w:cs="Times New Roman"/>
                <w:color w:val="000000"/>
                <w:kern w:val="2"/>
                <w:sz w:val="28"/>
                <w:szCs w:val="28"/>
                <w:lang w:val="en-US" w:eastAsia="zh-CN" w:bidi="ar-SA"/>
              </w:rPr>
              <w:t>。</w:t>
            </w:r>
          </w:p>
          <w:p>
            <w:pPr>
              <w:spacing w:line="460" w:lineRule="exact"/>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2、提高身心素质。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spacing w:line="460" w:lineRule="exact"/>
              <w:jc w:val="both"/>
              <w:rPr>
                <w:rFonts w:hint="eastAsia"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3、坚持每天阅读。多读有助于提高自己的人文素养及教学水平方面的书籍</w:t>
            </w:r>
            <w:r>
              <w:rPr>
                <w:rFonts w:hint="eastAsia" w:cs="Times New Roman"/>
                <w:color w:val="000000"/>
                <w:kern w:val="2"/>
                <w:sz w:val="28"/>
                <w:szCs w:val="28"/>
                <w:lang w:val="en-US" w:eastAsia="zh-CN" w:bidi="ar-SA"/>
              </w:rPr>
              <w:t>，以及有关新理念的数学教学，积极主持课题《在小学低年级数学教学中开展探究性教学的策略研究》的开展，进行相关资料的收集和整理，积极撰写相关论文。</w:t>
            </w:r>
          </w:p>
          <w:p>
            <w:pPr>
              <w:spacing w:line="460" w:lineRule="exact"/>
              <w:jc w:val="both"/>
              <w:rPr>
                <w:rFonts w:hint="eastAsia" w:cs="Times New Roman"/>
                <w:color w:val="000000"/>
                <w:kern w:val="2"/>
                <w:sz w:val="28"/>
                <w:szCs w:val="28"/>
                <w:lang w:val="en-US" w:eastAsia="zh-CN" w:bidi="ar-SA"/>
              </w:rPr>
            </w:pPr>
            <w:r>
              <w:rPr>
                <w:rFonts w:hint="eastAsia" w:cs="Times New Roman"/>
                <w:color w:val="000000"/>
                <w:kern w:val="2"/>
                <w:sz w:val="28"/>
                <w:szCs w:val="28"/>
                <w:lang w:val="en-US" w:eastAsia="zh-CN" w:bidi="ar-SA"/>
              </w:rPr>
              <w:t>4、每学期听课30节以上，坚持写“教育反思”或教学案例，便于总结实践、升华经验，坚持在每篇教学设计旁写教学反思、教育随笔，可以提升自己的教学能力。</w:t>
            </w:r>
          </w:p>
          <w:p>
            <w:pPr>
              <w:spacing w:line="460" w:lineRule="exact"/>
              <w:jc w:val="both"/>
            </w:pPr>
            <w:r>
              <w:rPr>
                <w:rFonts w:hint="eastAsia" w:cs="Times New Roman"/>
                <w:color w:val="000000"/>
                <w:kern w:val="2"/>
                <w:sz w:val="28"/>
                <w:szCs w:val="28"/>
                <w:lang w:val="en-US" w:eastAsia="zh-CN" w:bidi="ar-SA"/>
              </w:rPr>
              <w:t>5、随着教学经验不断积累，进一步完善自身的教学风格，有一套完整的教学经验。</w:t>
            </w:r>
          </w:p>
        </w:tc>
      </w:tr>
    </w:tbl>
    <w:p>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F"/>
    <w:rsid w:val="00013F34"/>
    <w:rsid w:val="000909F5"/>
    <w:rsid w:val="000971EF"/>
    <w:rsid w:val="001807D4"/>
    <w:rsid w:val="001909C6"/>
    <w:rsid w:val="002D72E4"/>
    <w:rsid w:val="003910D8"/>
    <w:rsid w:val="003B004A"/>
    <w:rsid w:val="00515E58"/>
    <w:rsid w:val="00555B5C"/>
    <w:rsid w:val="00563F2C"/>
    <w:rsid w:val="009203D9"/>
    <w:rsid w:val="00A834F2"/>
    <w:rsid w:val="00BB7775"/>
    <w:rsid w:val="00C4389B"/>
    <w:rsid w:val="00D0143F"/>
    <w:rsid w:val="00D11309"/>
    <w:rsid w:val="00D2027E"/>
    <w:rsid w:val="00E86E8C"/>
    <w:rsid w:val="00F25A08"/>
    <w:rsid w:val="05A9495C"/>
    <w:rsid w:val="20C9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semiHidden/>
    <w:qFormat/>
    <w:uiPriority w:val="0"/>
    <w:pPr>
      <w:ind w:firstLine="420" w:firstLine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字符"/>
    <w:basedOn w:val="7"/>
    <w:link w:val="2"/>
    <w:semiHidden/>
    <w:qFormat/>
    <w:uiPriority w:val="0"/>
    <w:rPr>
      <w:rFonts w:ascii="Times New Roman" w:hAnsi="Times New Roman" w:eastAsia="宋体" w:cs="Times New Roman"/>
      <w:szCs w:val="24"/>
    </w:rPr>
  </w:style>
  <w:style w:type="character" w:customStyle="1" w:styleId="9">
    <w:name w:val="页眉 字符"/>
    <w:basedOn w:val="7"/>
    <w:link w:val="4"/>
    <w:semiHidden/>
    <w:qFormat/>
    <w:uiPriority w:val="99"/>
    <w:rPr>
      <w:rFonts w:ascii="Times New Roman" w:hAnsi="Times New Roman" w:eastAsia="宋体" w:cs="Times New Roman"/>
      <w:sz w:val="18"/>
      <w:szCs w:val="18"/>
    </w:rPr>
  </w:style>
  <w:style w:type="character" w:customStyle="1" w:styleId="10">
    <w:name w:val="页脚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E016C-62B9-487D-8836-57966A4D72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213</Characters>
  <Lines>1</Lines>
  <Paragraphs>1</Paragraphs>
  <TotalTime>12</TotalTime>
  <ScaleCrop>false</ScaleCrop>
  <LinksUpToDate>false</LinksUpToDate>
  <CharactersWithSpaces>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2021-02-24T08:11:00Z</dcterms:created>
  <dc:creator>Administrator</dc:creator>
  <cp:lastModifiedBy>Administrator</cp:lastModifiedBy>
  <cp:lastPrinted>2017-06-07T08:00:00Z</cp:lastPrinted>
  <dcterms:modified xsi:type="dcterms:W3CDTF">2021-03-01T06:02:55Z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