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礼河实验学校教师个人专业发展三年规划</w:t>
      </w:r>
    </w:p>
    <w:p>
      <w:pPr>
        <w:jc w:val="center"/>
        <w:rPr>
          <w:b/>
          <w:bCs/>
          <w:sz w:val="36"/>
          <w:szCs w:val="36"/>
        </w:rPr>
      </w:pPr>
      <w:r>
        <w:rPr>
          <w:rFonts w:hint="eastAsia"/>
          <w:b/>
          <w:bCs/>
          <w:sz w:val="36"/>
          <w:szCs w:val="36"/>
        </w:rPr>
        <w:t>（2020—2023）</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563"/>
        <w:gridCol w:w="957"/>
        <w:gridCol w:w="147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spacing w:line="380" w:lineRule="exact"/>
              <w:jc w:val="center"/>
              <w:rPr>
                <w:b/>
                <w:bCs/>
                <w:sz w:val="28"/>
              </w:rPr>
            </w:pPr>
            <w:r>
              <w:rPr>
                <w:rFonts w:hint="eastAsia"/>
                <w:b/>
                <w:bCs/>
                <w:sz w:val="28"/>
              </w:rPr>
              <w:t>个</w:t>
            </w:r>
          </w:p>
          <w:p>
            <w:pPr>
              <w:spacing w:line="380" w:lineRule="exact"/>
              <w:jc w:val="center"/>
              <w:rPr>
                <w:b/>
                <w:bCs/>
                <w:sz w:val="28"/>
              </w:rPr>
            </w:pPr>
            <w:r>
              <w:rPr>
                <w:rFonts w:hint="eastAsia"/>
                <w:b/>
                <w:bCs/>
                <w:sz w:val="28"/>
              </w:rPr>
              <w:t>人</w:t>
            </w:r>
          </w:p>
          <w:p>
            <w:pPr>
              <w:spacing w:line="380" w:lineRule="exact"/>
              <w:jc w:val="center"/>
              <w:rPr>
                <w:b/>
                <w:bCs/>
                <w:sz w:val="28"/>
              </w:rPr>
            </w:pPr>
            <w:r>
              <w:rPr>
                <w:rFonts w:hint="eastAsia"/>
                <w:b/>
                <w:bCs/>
                <w:sz w:val="28"/>
              </w:rPr>
              <w:t>基</w:t>
            </w:r>
          </w:p>
          <w:p>
            <w:pPr>
              <w:spacing w:line="380" w:lineRule="exact"/>
              <w:jc w:val="center"/>
              <w:rPr>
                <w:b/>
                <w:bCs/>
                <w:sz w:val="28"/>
              </w:rPr>
            </w:pPr>
            <w:r>
              <w:rPr>
                <w:rFonts w:hint="eastAsia"/>
                <w:b/>
                <w:bCs/>
                <w:sz w:val="28"/>
              </w:rPr>
              <w:t>本</w:t>
            </w:r>
          </w:p>
          <w:p>
            <w:pPr>
              <w:spacing w:line="380" w:lineRule="exact"/>
              <w:jc w:val="center"/>
              <w:rPr>
                <w:b/>
                <w:bCs/>
                <w:sz w:val="28"/>
              </w:rPr>
            </w:pPr>
            <w:r>
              <w:rPr>
                <w:rFonts w:hint="eastAsia"/>
                <w:b/>
                <w:bCs/>
                <w:sz w:val="28"/>
              </w:rPr>
              <w:t>信</w:t>
            </w:r>
          </w:p>
          <w:p>
            <w:pPr>
              <w:spacing w:line="380" w:lineRule="exact"/>
              <w:jc w:val="center"/>
              <w:rPr>
                <w:sz w:val="28"/>
              </w:rPr>
            </w:pPr>
            <w:r>
              <w:rPr>
                <w:rFonts w:hint="eastAsia"/>
                <w:b/>
                <w:bCs/>
                <w:sz w:val="28"/>
              </w:rPr>
              <w:t>息</w:t>
            </w:r>
          </w:p>
        </w:tc>
        <w:tc>
          <w:tcPr>
            <w:tcW w:w="1260" w:type="dxa"/>
            <w:vAlign w:val="center"/>
          </w:tcPr>
          <w:p>
            <w:pPr>
              <w:spacing w:line="360" w:lineRule="exact"/>
              <w:jc w:val="center"/>
              <w:rPr>
                <w:sz w:val="28"/>
              </w:rPr>
            </w:pPr>
            <w:r>
              <w:rPr>
                <w:rFonts w:hint="eastAsia"/>
                <w:sz w:val="28"/>
              </w:rPr>
              <w:t>姓名</w:t>
            </w:r>
          </w:p>
        </w:tc>
        <w:tc>
          <w:tcPr>
            <w:tcW w:w="1563" w:type="dxa"/>
            <w:vAlign w:val="center"/>
          </w:tcPr>
          <w:p>
            <w:pPr>
              <w:spacing w:line="360" w:lineRule="exact"/>
              <w:jc w:val="center"/>
              <w:rPr>
                <w:rFonts w:hint="eastAsia" w:ascii="仿宋_GB2312" w:eastAsia="仿宋_GB2312"/>
                <w:sz w:val="28"/>
                <w:lang w:eastAsia="zh-CN"/>
              </w:rPr>
            </w:pPr>
            <w:r>
              <w:rPr>
                <w:rFonts w:hint="eastAsia" w:ascii="仿宋_GB2312" w:eastAsia="仿宋_GB2312"/>
                <w:sz w:val="28"/>
                <w:lang w:eastAsia="zh-CN"/>
              </w:rPr>
              <w:t>高小燕</w:t>
            </w:r>
          </w:p>
        </w:tc>
        <w:tc>
          <w:tcPr>
            <w:tcW w:w="957" w:type="dxa"/>
            <w:vAlign w:val="center"/>
          </w:tcPr>
          <w:p>
            <w:pPr>
              <w:spacing w:line="360" w:lineRule="exact"/>
              <w:jc w:val="center"/>
              <w:rPr>
                <w:sz w:val="28"/>
              </w:rPr>
            </w:pPr>
            <w:r>
              <w:rPr>
                <w:rFonts w:hint="eastAsia"/>
                <w:sz w:val="28"/>
              </w:rPr>
              <w:t>性别</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女</w:t>
            </w:r>
          </w:p>
        </w:tc>
        <w:tc>
          <w:tcPr>
            <w:tcW w:w="1218" w:type="dxa"/>
            <w:vAlign w:val="center"/>
          </w:tcPr>
          <w:p>
            <w:pPr>
              <w:spacing w:line="360" w:lineRule="exact"/>
              <w:jc w:val="center"/>
              <w:rPr>
                <w:sz w:val="28"/>
              </w:rPr>
            </w:pPr>
            <w:r>
              <w:rPr>
                <w:rFonts w:hint="eastAsia"/>
                <w:sz w:val="28"/>
              </w:rPr>
              <w:t>民族</w:t>
            </w:r>
          </w:p>
        </w:tc>
        <w:tc>
          <w:tcPr>
            <w:tcW w:w="1218" w:type="dxa"/>
            <w:vAlign w:val="center"/>
          </w:tcPr>
          <w:p>
            <w:pPr>
              <w:jc w:val="center"/>
              <w:rPr>
                <w:rFonts w:hint="eastAsia" w:eastAsia="仿宋_GB2312"/>
                <w:sz w:val="28"/>
                <w:lang w:eastAsia="zh-CN"/>
              </w:rPr>
            </w:pPr>
            <w:r>
              <w:rPr>
                <w:rFonts w:hint="eastAsia" w:eastAsia="仿宋_GB2312"/>
                <w:sz w:val="28"/>
                <w:lang w:eastAsia="zh-CN"/>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出生</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1981.11</w:t>
            </w:r>
          </w:p>
        </w:tc>
        <w:tc>
          <w:tcPr>
            <w:tcW w:w="957" w:type="dxa"/>
            <w:vAlign w:val="center"/>
          </w:tcPr>
          <w:p>
            <w:pPr>
              <w:spacing w:line="360" w:lineRule="exact"/>
              <w:jc w:val="center"/>
              <w:rPr>
                <w:sz w:val="28"/>
              </w:rPr>
            </w:pPr>
            <w:r>
              <w:rPr>
                <w:rFonts w:hint="eastAsia"/>
                <w:sz w:val="28"/>
              </w:rPr>
              <w:t>籍贯</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常州武进</w:t>
            </w:r>
          </w:p>
        </w:tc>
        <w:tc>
          <w:tcPr>
            <w:tcW w:w="1218" w:type="dxa"/>
            <w:vAlign w:val="center"/>
          </w:tcPr>
          <w:p>
            <w:pPr>
              <w:spacing w:line="360" w:lineRule="exact"/>
              <w:jc w:val="center"/>
              <w:rPr>
                <w:sz w:val="28"/>
              </w:rPr>
            </w:pPr>
            <w:r>
              <w:rPr>
                <w:rFonts w:hint="eastAsia"/>
                <w:sz w:val="28"/>
              </w:rPr>
              <w:t>政治</w:t>
            </w:r>
          </w:p>
          <w:p>
            <w:pPr>
              <w:spacing w:line="360" w:lineRule="exact"/>
              <w:jc w:val="center"/>
              <w:rPr>
                <w:sz w:val="28"/>
              </w:rPr>
            </w:pPr>
            <w:r>
              <w:rPr>
                <w:rFonts w:hint="eastAsia"/>
                <w:sz w:val="28"/>
              </w:rPr>
              <w:t>面貌</w:t>
            </w:r>
          </w:p>
        </w:tc>
        <w:tc>
          <w:tcPr>
            <w:tcW w:w="1218" w:type="dxa"/>
            <w:vAlign w:val="center"/>
          </w:tcPr>
          <w:p>
            <w:pPr>
              <w:jc w:val="center"/>
              <w:rPr>
                <w:rFonts w:hint="eastAsia" w:eastAsia="仿宋_GB2312"/>
                <w:sz w:val="24"/>
                <w:lang w:eastAsia="zh-CN"/>
              </w:rPr>
            </w:pPr>
            <w:r>
              <w:rPr>
                <w:rFonts w:hint="eastAsia" w:eastAsia="仿宋_GB2312"/>
                <w:sz w:val="24"/>
                <w:lang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工作</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2002.8</w:t>
            </w:r>
          </w:p>
        </w:tc>
        <w:tc>
          <w:tcPr>
            <w:tcW w:w="957" w:type="dxa"/>
            <w:vAlign w:val="center"/>
          </w:tcPr>
          <w:p>
            <w:pPr>
              <w:spacing w:line="360" w:lineRule="exact"/>
              <w:jc w:val="center"/>
              <w:rPr>
                <w:sz w:val="28"/>
              </w:rPr>
            </w:pPr>
            <w:r>
              <w:rPr>
                <w:rFonts w:hint="eastAsia"/>
                <w:sz w:val="28"/>
              </w:rPr>
              <w:t>学历</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本科</w:t>
            </w:r>
          </w:p>
        </w:tc>
        <w:tc>
          <w:tcPr>
            <w:tcW w:w="1218" w:type="dxa"/>
            <w:vAlign w:val="center"/>
          </w:tcPr>
          <w:p>
            <w:pPr>
              <w:spacing w:line="360" w:lineRule="exact"/>
              <w:jc w:val="center"/>
              <w:rPr>
                <w:sz w:val="28"/>
              </w:rPr>
            </w:pPr>
            <w:r>
              <w:rPr>
                <w:rFonts w:hint="eastAsia"/>
                <w:sz w:val="28"/>
              </w:rPr>
              <w:t>行政</w:t>
            </w:r>
          </w:p>
          <w:p>
            <w:pPr>
              <w:spacing w:line="360" w:lineRule="exact"/>
              <w:jc w:val="center"/>
              <w:rPr>
                <w:sz w:val="28"/>
              </w:rPr>
            </w:pPr>
            <w:r>
              <w:rPr>
                <w:rFonts w:hint="eastAsia"/>
                <w:sz w:val="28"/>
              </w:rPr>
              <w:t>职务</w:t>
            </w:r>
          </w:p>
        </w:tc>
        <w:tc>
          <w:tcPr>
            <w:tcW w:w="1218" w:type="dxa"/>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专业技</w:t>
            </w:r>
          </w:p>
          <w:p>
            <w:pPr>
              <w:spacing w:line="360" w:lineRule="exact"/>
              <w:jc w:val="center"/>
              <w:rPr>
                <w:sz w:val="28"/>
              </w:rPr>
            </w:pPr>
            <w:r>
              <w:rPr>
                <w:rFonts w:hint="eastAsia"/>
                <w:sz w:val="28"/>
              </w:rPr>
              <w:t>术职务</w:t>
            </w:r>
          </w:p>
        </w:tc>
        <w:tc>
          <w:tcPr>
            <w:tcW w:w="1563" w:type="dxa"/>
            <w:vAlign w:val="center"/>
          </w:tcPr>
          <w:p>
            <w:pPr>
              <w:spacing w:line="360" w:lineRule="exact"/>
              <w:jc w:val="center"/>
              <w:rPr>
                <w:rFonts w:hint="eastAsia" w:ascii="仿宋_GB2312" w:eastAsia="仿宋_GB2312"/>
                <w:sz w:val="28"/>
                <w:lang w:eastAsia="zh-CN"/>
              </w:rPr>
            </w:pPr>
            <w:r>
              <w:rPr>
                <w:rFonts w:hint="eastAsia" w:ascii="仿宋_GB2312" w:eastAsia="仿宋_GB2312"/>
                <w:sz w:val="28"/>
                <w:lang w:eastAsia="zh-CN"/>
              </w:rPr>
              <w:t>中高</w:t>
            </w:r>
          </w:p>
        </w:tc>
        <w:tc>
          <w:tcPr>
            <w:tcW w:w="957" w:type="dxa"/>
            <w:vAlign w:val="center"/>
          </w:tcPr>
          <w:p>
            <w:pPr>
              <w:spacing w:line="360" w:lineRule="exact"/>
              <w:jc w:val="center"/>
              <w:rPr>
                <w:sz w:val="28"/>
              </w:rPr>
            </w:pPr>
            <w:r>
              <w:rPr>
                <w:rFonts w:hint="eastAsia"/>
                <w:sz w:val="28"/>
              </w:rPr>
              <w:t>任教</w:t>
            </w:r>
          </w:p>
          <w:p>
            <w:pPr>
              <w:spacing w:line="360" w:lineRule="exact"/>
              <w:jc w:val="center"/>
              <w:rPr>
                <w:sz w:val="28"/>
              </w:rPr>
            </w:pPr>
            <w:r>
              <w:rPr>
                <w:rFonts w:hint="eastAsia"/>
                <w:sz w:val="28"/>
              </w:rPr>
              <w:t>学科</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英语</w:t>
            </w:r>
          </w:p>
        </w:tc>
        <w:tc>
          <w:tcPr>
            <w:tcW w:w="1218" w:type="dxa"/>
            <w:vAlign w:val="center"/>
          </w:tcPr>
          <w:p>
            <w:pPr>
              <w:spacing w:line="360" w:lineRule="exact"/>
              <w:jc w:val="center"/>
              <w:rPr>
                <w:sz w:val="28"/>
              </w:rPr>
            </w:pPr>
            <w:r>
              <w:rPr>
                <w:rFonts w:hint="eastAsia"/>
                <w:color w:val="000000"/>
                <w:w w:val="65"/>
                <w:kern w:val="0"/>
                <w:sz w:val="28"/>
                <w:fitText w:val="735" w:id="0"/>
              </w:rPr>
              <w:t>是否担任</w:t>
            </w:r>
            <w:r>
              <w:rPr>
                <w:rFonts w:hint="eastAsia"/>
                <w:sz w:val="28"/>
              </w:rPr>
              <w:t>班主任</w:t>
            </w:r>
          </w:p>
        </w:tc>
        <w:tc>
          <w:tcPr>
            <w:tcW w:w="1218" w:type="dxa"/>
            <w:vAlign w:val="center"/>
          </w:tcPr>
          <w:p>
            <w:pPr>
              <w:jc w:val="center"/>
              <w:rPr>
                <w:rFonts w:hint="eastAsia" w:eastAsia="仿宋_GB2312"/>
                <w:sz w:val="28"/>
                <w:lang w:eastAsia="zh-CN"/>
              </w:rPr>
            </w:pPr>
            <w:r>
              <w:rPr>
                <w:rFonts w:hint="eastAsia" w:eastAsia="仿宋_GB2312"/>
                <w:sz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个</w:t>
            </w:r>
          </w:p>
          <w:p>
            <w:pPr>
              <w:jc w:val="center"/>
              <w:rPr>
                <w:b/>
                <w:bCs/>
                <w:sz w:val="28"/>
              </w:rPr>
            </w:pPr>
            <w:r>
              <w:rPr>
                <w:rFonts w:hint="eastAsia"/>
                <w:b/>
                <w:bCs/>
                <w:sz w:val="28"/>
              </w:rPr>
              <w:t>人</w:t>
            </w:r>
          </w:p>
          <w:p>
            <w:pPr>
              <w:jc w:val="center"/>
              <w:rPr>
                <w:b/>
                <w:bCs/>
                <w:sz w:val="28"/>
              </w:rPr>
            </w:pPr>
            <w:r>
              <w:rPr>
                <w:rFonts w:hint="eastAsia"/>
                <w:b/>
                <w:bCs/>
                <w:sz w:val="28"/>
              </w:rPr>
              <w:t>现</w:t>
            </w:r>
          </w:p>
          <w:p>
            <w:pPr>
              <w:jc w:val="center"/>
              <w:rPr>
                <w:b/>
                <w:bCs/>
                <w:sz w:val="28"/>
              </w:rPr>
            </w:pPr>
            <w:r>
              <w:rPr>
                <w:rFonts w:hint="eastAsia"/>
                <w:b/>
                <w:bCs/>
                <w:sz w:val="28"/>
              </w:rPr>
              <w:t>状</w:t>
            </w:r>
          </w:p>
          <w:p>
            <w:pPr>
              <w:jc w:val="center"/>
              <w:rPr>
                <w:b/>
                <w:bCs/>
                <w:sz w:val="28"/>
              </w:rPr>
            </w:pPr>
            <w:r>
              <w:rPr>
                <w:rFonts w:hint="eastAsia"/>
                <w:b/>
                <w:bCs/>
                <w:sz w:val="28"/>
              </w:rPr>
              <w:t>分</w:t>
            </w:r>
          </w:p>
          <w:p>
            <w:pPr>
              <w:jc w:val="center"/>
              <w:rPr>
                <w:sz w:val="28"/>
              </w:rPr>
            </w:pPr>
            <w:r>
              <w:rPr>
                <w:rFonts w:hint="eastAsia"/>
                <w:b/>
                <w:bCs/>
                <w:sz w:val="28"/>
              </w:rPr>
              <w:t>析</w:t>
            </w:r>
          </w:p>
        </w:tc>
        <w:tc>
          <w:tcPr>
            <w:tcW w:w="1260" w:type="dxa"/>
            <w:vAlign w:val="center"/>
          </w:tcPr>
          <w:p>
            <w:pPr>
              <w:jc w:val="center"/>
              <w:rPr>
                <w:sz w:val="28"/>
              </w:rPr>
            </w:pPr>
            <w:r>
              <w:rPr>
                <w:rFonts w:hint="eastAsia"/>
                <w:sz w:val="28"/>
              </w:rPr>
              <w:t>优</w:t>
            </w:r>
          </w:p>
          <w:p>
            <w:pPr>
              <w:jc w:val="center"/>
              <w:rPr>
                <w:sz w:val="28"/>
              </w:rPr>
            </w:pPr>
          </w:p>
          <w:p>
            <w:pPr>
              <w:jc w:val="center"/>
              <w:rPr>
                <w:sz w:val="28"/>
              </w:rPr>
            </w:pPr>
            <w:r>
              <w:rPr>
                <w:rFonts w:hint="eastAsia"/>
                <w:sz w:val="28"/>
              </w:rPr>
              <w:t>势</w:t>
            </w:r>
          </w:p>
        </w:tc>
        <w:tc>
          <w:tcPr>
            <w:tcW w:w="6434" w:type="dxa"/>
            <w:gridSpan w:val="5"/>
          </w:tcPr>
          <w:p>
            <w:pPr>
              <w:pStyle w:val="2"/>
              <w:spacing w:line="440" w:lineRule="exact"/>
              <w:ind w:firstLine="480"/>
              <w:rPr>
                <w:rFonts w:eastAsia="仿宋_GB2312"/>
                <w:sz w:val="24"/>
              </w:rPr>
            </w:pPr>
            <w:r>
              <w:rPr>
                <w:rFonts w:hint="eastAsia"/>
                <w:sz w:val="24"/>
                <w:lang w:eastAsia="zh-CN"/>
              </w:rPr>
              <w:t>本人能</w:t>
            </w:r>
            <w:r>
              <w:rPr>
                <w:sz w:val="24"/>
              </w:rPr>
              <w:t>认真贯彻国家教育方针，</w:t>
            </w:r>
            <w:r>
              <w:rPr>
                <w:rFonts w:hint="eastAsia"/>
                <w:sz w:val="24"/>
              </w:rPr>
              <w:t>按照《教师职业道德规范》要求自己，</w:t>
            </w:r>
            <w:r>
              <w:rPr>
                <w:sz w:val="24"/>
              </w:rPr>
              <w:t>按照课程改革的要求，</w:t>
            </w:r>
            <w:r>
              <w:rPr>
                <w:rFonts w:ascii="ˎ̥" w:hAnsi="ˎ̥"/>
                <w:color w:val="000000"/>
                <w:sz w:val="24"/>
              </w:rPr>
              <w:t>立德为师，身正为范，为人师表。平时有意识地有计划地进行师德方面的系统性学习，认真学习贯彻落实《九年义务教育法》《教师法》以及《未成年人保护法》。立足于课堂，注意自己的言行仪表，关爱每个学生，一切为了学生，为了学生的一切，关注学生的长远发展。</w:t>
            </w:r>
            <w:r>
              <w:rPr>
                <w:sz w:val="24"/>
              </w:rPr>
              <w:t>培养学生全面发展，坚定献身教育的信念。</w:t>
            </w:r>
            <w:r>
              <w:rPr>
                <w:rFonts w:ascii="ˎ̥" w:hAnsi="ˎ̥"/>
                <w:color w:val="000000"/>
                <w:sz w:val="24"/>
              </w:rPr>
              <w:t>热爱本职工作，热爱教书育人的事业</w:t>
            </w:r>
            <w:r>
              <w:rPr>
                <w:rFonts w:hint="eastAsia" w:ascii="ˎ̥" w:hAnsi="ˎ̥"/>
                <w:color w:val="000000"/>
                <w:sz w:val="24"/>
                <w:lang w:eastAsia="zh-CN"/>
              </w:rPr>
              <w:t>，努力</w:t>
            </w:r>
            <w:r>
              <w:rPr>
                <w:rFonts w:ascii="ˎ̥" w:hAnsi="ˎ̥"/>
                <w:color w:val="000000"/>
                <w:sz w:val="24"/>
              </w:rPr>
              <w:t>为学校</w:t>
            </w:r>
            <w:r>
              <w:rPr>
                <w:rFonts w:hint="eastAsia" w:ascii="ˎ̥" w:hAnsi="ˎ̥"/>
                <w:color w:val="000000"/>
                <w:sz w:val="24"/>
                <w:lang w:eastAsia="zh-CN"/>
              </w:rPr>
              <w:t>、</w:t>
            </w:r>
            <w:r>
              <w:rPr>
                <w:rFonts w:ascii="ˎ̥" w:hAnsi="ˎ̥"/>
                <w:color w:val="000000"/>
                <w:sz w:val="24"/>
              </w:rPr>
              <w:t>社会的教育事业添光彩。</w:t>
            </w:r>
            <w:r>
              <w:rPr>
                <w:rFonts w:hint="eastAsia" w:ascii="ˎ̥" w:hAnsi="ˎ̥"/>
                <w:color w:val="000000"/>
                <w:sz w:val="24"/>
                <w:lang w:eastAsia="zh-CN"/>
              </w:rPr>
              <w:t>本人也一直在努力</w:t>
            </w:r>
            <w:r>
              <w:rPr>
                <w:rFonts w:hint="eastAsia"/>
                <w:sz w:val="24"/>
              </w:rPr>
              <w:t>做一名业务上、教学上都过硬的教师，</w:t>
            </w:r>
            <w:r>
              <w:rPr>
                <w:rFonts w:hint="eastAsia"/>
                <w:sz w:val="24"/>
                <w:lang w:eastAsia="zh-CN"/>
              </w:rPr>
              <w:t>争</w:t>
            </w:r>
            <w:r>
              <w:rPr>
                <w:rFonts w:hint="eastAsia"/>
                <w:sz w:val="24"/>
              </w:rPr>
              <w:t>做一名“善于反思、勤于积累”的老师，对自己的</w:t>
            </w:r>
            <w:r>
              <w:rPr>
                <w:rFonts w:hint="eastAsia"/>
                <w:sz w:val="24"/>
                <w:lang w:eastAsia="zh-CN"/>
              </w:rPr>
              <w:t>教育</w:t>
            </w:r>
            <w:r>
              <w:rPr>
                <w:rFonts w:hint="eastAsia"/>
                <w:sz w:val="24"/>
              </w:rPr>
              <w:t>教学工作的失败与成功注意积累，对自己的</w:t>
            </w:r>
            <w:r>
              <w:rPr>
                <w:rFonts w:hint="eastAsia"/>
                <w:sz w:val="24"/>
                <w:lang w:eastAsia="zh-CN"/>
              </w:rPr>
              <w:t>教育</w:t>
            </w:r>
            <w:r>
              <w:rPr>
                <w:rFonts w:hint="eastAsia"/>
                <w:sz w:val="24"/>
              </w:rPr>
              <w:t>教学活动进行反思。同时，通过不断培训和参加各种返岗研修活动，养成善于学习、乐于学习、主动学习的学习习惯，为自己打造一个具有多元化知识结构的人，使自己的教育教学水平再上一个台阶。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jc w:val="center"/>
              <w:rPr>
                <w:sz w:val="28"/>
              </w:rPr>
            </w:pPr>
            <w:r>
              <w:rPr>
                <w:rFonts w:hint="eastAsia"/>
                <w:sz w:val="28"/>
              </w:rPr>
              <w:t>不</w:t>
            </w:r>
          </w:p>
          <w:p>
            <w:pPr>
              <w:jc w:val="center"/>
              <w:rPr>
                <w:sz w:val="28"/>
              </w:rPr>
            </w:pPr>
          </w:p>
          <w:p>
            <w:pPr>
              <w:jc w:val="center"/>
              <w:rPr>
                <w:sz w:val="28"/>
              </w:rPr>
            </w:pPr>
            <w:r>
              <w:rPr>
                <w:rFonts w:hint="eastAsia"/>
                <w:sz w:val="28"/>
              </w:rPr>
              <w:t>足</w:t>
            </w:r>
          </w:p>
        </w:tc>
        <w:tc>
          <w:tcPr>
            <w:tcW w:w="6434" w:type="dxa"/>
            <w:gridSpan w:val="5"/>
            <w:vAlign w:val="bottom"/>
          </w:tcPr>
          <w:p>
            <w:pPr>
              <w:spacing w:line="460" w:lineRule="exact"/>
              <w:ind w:firstLine="480" w:firstLineChars="200"/>
              <w:jc w:val="both"/>
              <w:rPr>
                <w:sz w:val="28"/>
              </w:rPr>
            </w:pPr>
            <w:r>
              <w:rPr>
                <w:rFonts w:hint="eastAsia"/>
                <w:sz w:val="24"/>
                <w:lang w:eastAsia="zh-CN"/>
              </w:rPr>
              <w:t>个人的</w:t>
            </w:r>
            <w:r>
              <w:rPr>
                <w:sz w:val="24"/>
              </w:rPr>
              <w:t>终身学习的观念</w:t>
            </w:r>
            <w:r>
              <w:rPr>
                <w:rFonts w:hint="eastAsia"/>
                <w:sz w:val="24"/>
                <w:lang w:eastAsia="zh-CN"/>
              </w:rPr>
              <w:t>还不够，还需</w:t>
            </w:r>
            <w:r>
              <w:rPr>
                <w:sz w:val="24"/>
              </w:rPr>
              <w:t>不断学习政治思想理论、教育教学理论和各种专业知识，增加自己的理论积累；要在“无字处”学习，学习他人高尚的师德，丰富自己的教学经验，取长补短。特别</w:t>
            </w:r>
            <w:r>
              <w:rPr>
                <w:rFonts w:hint="eastAsia"/>
                <w:sz w:val="24"/>
                <w:lang w:eastAsia="zh-CN"/>
              </w:rPr>
              <w:t>是随着科技的飞速发展，现代教育教学手段、方法、观念都在不断更新，要跟上发展的步伐需</w:t>
            </w:r>
            <w:r>
              <w:rPr>
                <w:sz w:val="24"/>
              </w:rPr>
              <w:t>要学习现代信息技术，不断丰富自己的知识。</w:t>
            </w:r>
            <w:r>
              <w:rPr>
                <w:rFonts w:hint="eastAsia"/>
                <w:sz w:val="24"/>
                <w:lang w:eastAsia="zh-CN"/>
              </w:rPr>
              <w:t>这是我做得还不够的地方。</w:t>
            </w:r>
          </w:p>
        </w:tc>
      </w:tr>
    </w:tbl>
    <w:p/>
    <w:p>
      <w:pPr>
        <w:jc w:val="center"/>
      </w:pPr>
      <w:r>
        <w:rPr>
          <w:rFonts w:hint="eastAsia"/>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48"/>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本</w:t>
            </w:r>
          </w:p>
          <w:p>
            <w:pPr>
              <w:jc w:val="center"/>
              <w:rPr>
                <w:b/>
                <w:bCs/>
                <w:sz w:val="28"/>
              </w:rPr>
            </w:pPr>
            <w:r>
              <w:rPr>
                <w:rFonts w:hint="eastAsia"/>
                <w:b/>
                <w:bCs/>
                <w:sz w:val="28"/>
              </w:rPr>
              <w:t>轮</w:t>
            </w:r>
          </w:p>
          <w:p>
            <w:pPr>
              <w:jc w:val="center"/>
              <w:rPr>
                <w:b/>
                <w:bCs/>
                <w:sz w:val="28"/>
              </w:rPr>
            </w:pPr>
            <w:r>
              <w:rPr>
                <w:rFonts w:hint="eastAsia"/>
                <w:b/>
                <w:bCs/>
                <w:sz w:val="28"/>
              </w:rPr>
              <w:t>个</w:t>
            </w:r>
          </w:p>
          <w:p>
            <w:pPr>
              <w:jc w:val="center"/>
              <w:rPr>
                <w:b/>
                <w:bCs/>
                <w:sz w:val="28"/>
              </w:rPr>
            </w:pPr>
            <w:r>
              <w:rPr>
                <w:rFonts w:hint="eastAsia"/>
                <w:b/>
                <w:bCs/>
                <w:sz w:val="28"/>
              </w:rPr>
              <w:t>人</w:t>
            </w:r>
          </w:p>
          <w:p>
            <w:pPr>
              <w:ind w:firstLine="141" w:firstLineChars="50"/>
              <w:rPr>
                <w:b/>
                <w:bCs/>
                <w:sz w:val="28"/>
              </w:rPr>
            </w:pPr>
            <w:r>
              <w:rPr>
                <w:rFonts w:hint="eastAsia"/>
                <w:b/>
                <w:bCs/>
                <w:sz w:val="28"/>
              </w:rPr>
              <w:t>发</w:t>
            </w:r>
          </w:p>
          <w:p>
            <w:pPr>
              <w:jc w:val="center"/>
              <w:rPr>
                <w:b/>
                <w:bCs/>
                <w:sz w:val="28"/>
              </w:rPr>
            </w:pPr>
            <w:r>
              <w:rPr>
                <w:rFonts w:hint="eastAsia"/>
                <w:b/>
                <w:bCs/>
                <w:sz w:val="28"/>
              </w:rPr>
              <w:t>展</w:t>
            </w:r>
          </w:p>
          <w:p>
            <w:pPr>
              <w:jc w:val="center"/>
              <w:rPr>
                <w:b/>
                <w:bCs/>
                <w:sz w:val="28"/>
              </w:rPr>
            </w:pPr>
            <w:r>
              <w:rPr>
                <w:rFonts w:hint="eastAsia"/>
                <w:b/>
                <w:bCs/>
                <w:sz w:val="28"/>
              </w:rPr>
              <w:t>规</w:t>
            </w:r>
          </w:p>
          <w:p>
            <w:pPr>
              <w:jc w:val="center"/>
              <w:rPr>
                <w:sz w:val="28"/>
              </w:rPr>
            </w:pPr>
            <w:r>
              <w:rPr>
                <w:rFonts w:hint="eastAsia"/>
                <w:b/>
                <w:bCs/>
                <w:sz w:val="28"/>
              </w:rPr>
              <w:t>划</w:t>
            </w:r>
          </w:p>
        </w:tc>
        <w:tc>
          <w:tcPr>
            <w:tcW w:w="1548" w:type="dxa"/>
            <w:vAlign w:val="center"/>
          </w:tcPr>
          <w:p>
            <w:pPr>
              <w:jc w:val="center"/>
              <w:rPr>
                <w:sz w:val="28"/>
              </w:rPr>
            </w:pPr>
            <w:r>
              <w:rPr>
                <w:rFonts w:hint="eastAsia"/>
                <w:sz w:val="28"/>
              </w:rPr>
              <w:t>专业发展</w:t>
            </w:r>
          </w:p>
          <w:p>
            <w:pPr>
              <w:jc w:val="center"/>
              <w:rPr>
                <w:sz w:val="28"/>
              </w:rPr>
            </w:pPr>
            <w:r>
              <w:rPr>
                <w:rFonts w:hint="eastAsia"/>
                <w:sz w:val="28"/>
              </w:rPr>
              <w:t>总目标</w:t>
            </w:r>
          </w:p>
        </w:tc>
        <w:tc>
          <w:tcPr>
            <w:tcW w:w="6146" w:type="dxa"/>
          </w:tcPr>
          <w:p>
            <w:pPr>
              <w:spacing w:line="360" w:lineRule="exact"/>
              <w:rPr>
                <w:sz w:val="24"/>
              </w:rPr>
            </w:pPr>
            <w:r>
              <w:rPr>
                <w:rFonts w:hint="eastAsia" w:ascii="仿宋_GB2312" w:hAnsi="宋体" w:eastAsia="仿宋_GB2312" w:cs="Tahoma"/>
                <w:color w:val="000000"/>
                <w:sz w:val="24"/>
                <w:szCs w:val="21"/>
                <w:lang w:val="en-US" w:eastAsia="zh-CN"/>
              </w:rPr>
              <w:t xml:space="preserve">    争取做到让领导满意、让家长放心、让学生喜欢，在教育教学上更上一层楼。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548" w:type="dxa"/>
            <w:vAlign w:val="center"/>
          </w:tcPr>
          <w:p>
            <w:pPr>
              <w:jc w:val="center"/>
              <w:rPr>
                <w:sz w:val="28"/>
              </w:rPr>
            </w:pPr>
            <w:r>
              <w:rPr>
                <w:rFonts w:hint="eastAsia"/>
                <w:sz w:val="28"/>
              </w:rPr>
              <w:t>专业发展具体落实</w:t>
            </w:r>
          </w:p>
          <w:p>
            <w:pPr>
              <w:jc w:val="center"/>
              <w:rPr>
                <w:sz w:val="28"/>
              </w:rPr>
            </w:pPr>
            <w:r>
              <w:rPr>
                <w:rFonts w:hint="eastAsia"/>
                <w:sz w:val="28"/>
              </w:rPr>
              <w:t>措施</w:t>
            </w:r>
          </w:p>
        </w:tc>
        <w:tc>
          <w:tcPr>
            <w:tcW w:w="6146" w:type="dxa"/>
          </w:tcPr>
          <w:p>
            <w:pPr>
              <w:pStyle w:val="5"/>
              <w:spacing w:before="0" w:beforeAutospacing="0" w:after="0" w:afterAutospacing="0" w:line="400" w:lineRule="exact"/>
              <w:ind w:firstLine="480" w:firstLineChars="200"/>
              <w:rPr>
                <w:rFonts w:hint="eastAsia" w:ascii="ˎ̥" w:hAnsi="ˎ̥"/>
                <w:color w:val="000000"/>
              </w:rPr>
            </w:pPr>
            <w:r>
              <w:rPr>
                <w:rFonts w:ascii="ˎ̥" w:hAnsi="ˎ̥"/>
                <w:color w:val="000000"/>
              </w:rPr>
              <w:t>首先，保持教师的专业情怀——激情，坚持爱学生，把自己的岗位当作事业来追求。我相信很多人都熟悉这句话，德国教育学家第斯多惠在教师规则中明确指出：“我以为教学的艺术，不在于传授的本领，而在于激励唤醒，没有兴奋的情绪怎么激励人，没有主动性怎么能唤醒沉睡的人。”要激起学生的兴奋情绪并使其产生持久、浓厚的学习兴趣和学习热情，教师本身就要备有兴奋情绪，充满激情地进行教学工作，才能吸引学生，让学生信服。成功地激励了学生，并和学生进行交互性的交流，而且触及到了学生的情绪和意志领域，触及到了学生的精神需要。</w:t>
            </w:r>
          </w:p>
          <w:p>
            <w:pPr>
              <w:pStyle w:val="5"/>
              <w:spacing w:before="0" w:beforeAutospacing="0" w:after="0" w:afterAutospacing="0" w:line="400" w:lineRule="exact"/>
              <w:ind w:firstLine="480" w:firstLineChars="200"/>
              <w:rPr>
                <w:rFonts w:hint="eastAsia" w:ascii="ˎ̥" w:hAnsi="ˎ̥"/>
                <w:color w:val="000000"/>
              </w:rPr>
            </w:pPr>
            <w:r>
              <w:rPr>
                <w:rFonts w:ascii="ˎ̥" w:hAnsi="ˎ̥"/>
                <w:color w:val="000000"/>
              </w:rPr>
              <w:t>第二，在实践中不断提升、积累智慧、注重教学反思，做研究型的教师。每一个人的成长、成功都是不断实践，不断反思的结果。因而，要注重课堂实践经验的积累。每堂课只要我们认真准备了，用心上了，总有它值得我们思考反省的地方。要有一颗不时反省的决心与努力，这同时也是由我们的教师的职业特点决定的。教师的成长在某种意义上讲，也是一个经验的积累和提升的过程。</w:t>
            </w:r>
          </w:p>
          <w:p>
            <w:pPr>
              <w:pStyle w:val="5"/>
              <w:spacing w:before="0" w:beforeAutospacing="0" w:after="0" w:afterAutospacing="0" w:line="400" w:lineRule="exact"/>
              <w:ind w:firstLine="480" w:firstLineChars="200"/>
              <w:rPr>
                <w:rFonts w:hint="eastAsia" w:ascii="ˎ̥" w:hAnsi="ˎ̥"/>
                <w:color w:val="000000"/>
              </w:rPr>
            </w:pPr>
            <w:r>
              <w:rPr>
                <w:rFonts w:ascii="ˎ̥" w:hAnsi="ˎ̥"/>
                <w:color w:val="000000"/>
              </w:rPr>
              <w:t>第</w:t>
            </w:r>
            <w:r>
              <w:rPr>
                <w:rFonts w:hint="eastAsia" w:ascii="ˎ̥" w:hAnsi="ˎ̥"/>
                <w:color w:val="000000"/>
              </w:rPr>
              <w:t>三</w:t>
            </w:r>
            <w:r>
              <w:rPr>
                <w:rFonts w:ascii="ˎ̥" w:hAnsi="ˎ̥"/>
                <w:color w:val="000000"/>
              </w:rPr>
              <w:t>，要有终身学习的决心和行动，这也是由教师的职业特点决定的。教师是个特殊的职业，面对的是日益成长的学生，面对的是日后社会建设的主力军。同时，如今的知识济济社会日新月异，知识在不断创新，知识的更新换代的速度也在加快，他的周期也在缩小。如今的教师不能在像以前的教书匠那样几十年如一日地重复地讲着相同的内容，不用更新自己的知识库存仅靠一点，教学经验就足以做这个行业一辈子。相反，我们要做的是与时俱进，不断地多渠道地进行学习，参加各种专业方面的研修班。其次，要注重外语的学习和积累，时刻准备着双语时代的到来。再次，还要每天多读书、看报、了解国内外的时事动态，保持鲜活的政治灵敏度，为自己的</w:t>
            </w:r>
            <w:r>
              <w:rPr>
                <w:rFonts w:hint="eastAsia" w:ascii="ˎ̥" w:hAnsi="ˎ̥"/>
                <w:color w:val="000000"/>
              </w:rPr>
              <w:t>化学</w:t>
            </w:r>
            <w:r>
              <w:rPr>
                <w:rFonts w:ascii="ˎ̥" w:hAnsi="ˎ̥"/>
                <w:color w:val="000000"/>
              </w:rPr>
              <w:t>课注入源源不断地活水。</w:t>
            </w: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pPr>
            <w:bookmarkStart w:id="0" w:name="_GoBack"/>
            <w:bookmarkEnd w:id="0"/>
          </w:p>
        </w:tc>
      </w:tr>
    </w:tbl>
    <w:p/>
    <w:p>
      <w:pPr>
        <w:jc w:val="center"/>
      </w:pPr>
      <w:r>
        <w:rPr>
          <w:rFonts w:hint="eastAsia"/>
        </w:rPr>
        <w:t>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143F"/>
    <w:rsid w:val="00013F34"/>
    <w:rsid w:val="000909F5"/>
    <w:rsid w:val="000971EF"/>
    <w:rsid w:val="001807D4"/>
    <w:rsid w:val="001909C6"/>
    <w:rsid w:val="002D72E4"/>
    <w:rsid w:val="003910D8"/>
    <w:rsid w:val="00515E58"/>
    <w:rsid w:val="00555B5C"/>
    <w:rsid w:val="00563F2C"/>
    <w:rsid w:val="009203D9"/>
    <w:rsid w:val="00A834F2"/>
    <w:rsid w:val="00BB7775"/>
    <w:rsid w:val="00C4389B"/>
    <w:rsid w:val="00D0143F"/>
    <w:rsid w:val="00D11309"/>
    <w:rsid w:val="00D2027E"/>
    <w:rsid w:val="6D16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semiHidden/>
    <w:uiPriority w:val="0"/>
    <w:pPr>
      <w:ind w:firstLine="420" w:firstLineChars="20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正文文本缩进 Char"/>
    <w:basedOn w:val="7"/>
    <w:link w:val="2"/>
    <w:semiHidden/>
    <w:uiPriority w:val="0"/>
    <w:rPr>
      <w:rFonts w:ascii="Times New Roman" w:hAnsi="Times New Roman" w:eastAsia="宋体" w:cs="Times New Roman"/>
      <w:szCs w:val="24"/>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B574E-65D1-4122-B210-2FD7DEB5E7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37</Words>
  <Characters>213</Characters>
  <Lines>1</Lines>
  <Paragraphs>1</Paragraphs>
  <TotalTime>0</TotalTime>
  <ScaleCrop>false</ScaleCrop>
  <LinksUpToDate>false</LinksUpToDate>
  <CharactersWithSpaces>249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2021-02-24T07:57:00Z</dcterms:created>
  <dc:creator>Administrator</dc:creator>
  <cp:lastModifiedBy>船上篙子</cp:lastModifiedBy>
  <cp:lastPrinted>2017-06-07T08:00:00Z</cp:lastPrinted>
  <dcterms:modified xsi:type="dcterms:W3CDTF">2021-02-25T05:14:50Z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