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8"/>
        </w:tabs>
        <w:spacing w:line="360" w:lineRule="exact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（ 五 ）年级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第二</w:t>
      </w:r>
      <w:r>
        <w:rPr>
          <w:rFonts w:hint="eastAsia" w:ascii="宋体" w:hAnsi="宋体"/>
          <w:b/>
          <w:bCs/>
          <w:sz w:val="30"/>
          <w:szCs w:val="30"/>
        </w:rPr>
        <w:t>学期（  数学 ）学科教学进度安排表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543"/>
        <w:gridCol w:w="5270"/>
        <w:gridCol w:w="12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周次</w:t>
            </w:r>
          </w:p>
        </w:tc>
        <w:tc>
          <w:tcPr>
            <w:tcW w:w="154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日  期</w:t>
            </w:r>
          </w:p>
        </w:tc>
        <w:tc>
          <w:tcPr>
            <w:tcW w:w="527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771" w:firstLineChars="735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  学  内  容</w:t>
            </w:r>
          </w:p>
        </w:tc>
        <w:tc>
          <w:tcPr>
            <w:tcW w:w="12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简易方程（5）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简易方程（5）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简易方程（2）、机动（1）、折线统计图（2）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折线统计图（1）、蒜叶的生长（1）、机动（2）、因数与倍数（1）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因数与倍数（5）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因数与倍数（5）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因数与倍数（1）、和与积的奇偶性（1）、机动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清明休假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～4.1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分数的意义和性质（5）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～4.2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分数的意义和性质（1）、机动（4）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分数的意义和性质（5）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.3～5.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分数的意义和性质（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劳动节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333tian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～5.1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分数的意义和性质（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）球的反弹高度（1）、分数加法和减法（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分数加法和减法（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）、机动（1）、圆的认识（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～5.2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圆的认识（5）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圆的认识（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）、机动（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机动（2）、解决问题的策略（1）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～6.1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解决问题的策略（2）、机动（2）、期末与复习（2）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端午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1天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～6.2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期末复习（5）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tbl>
            <w:tblPr>
              <w:tblStyle w:val="2"/>
              <w:tblW w:w="0" w:type="auto"/>
              <w:jc w:val="center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8"/>
            </w:tblGrid>
            <w:tr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exact"/>
                <w:jc w:val="center"/>
              </w:trPr>
              <w:tc>
                <w:tcPr>
                  <w:tcW w:w="12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ouble" w:color="auto" w:sz="4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48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～6.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期末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D220F"/>
    <w:rsid w:val="02D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2021-02-24T04:09:00Z</dcterms:created>
  <dc:creator>Administrator</dc:creator>
  <cp:lastModifiedBy>Administrator</cp:lastModifiedBy>
  <dcterms:modified xsi:type="dcterms:W3CDTF">2021-02-24T04:10:11Z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