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强科学素养  挖育人价值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2020-2021年度科学学科第二学期计划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在学校</w:t>
      </w:r>
      <w:r>
        <w:rPr>
          <w:rFonts w:hint="eastAsia"/>
          <w:sz w:val="24"/>
          <w:szCs w:val="24"/>
          <w:highlight w:val="none"/>
          <w:lang w:val="en-US" w:eastAsia="zh-CN"/>
        </w:rPr>
        <w:t>弘雅文化与</w:t>
      </w:r>
      <w:r>
        <w:rPr>
          <w:rFonts w:hint="eastAsia"/>
          <w:sz w:val="24"/>
          <w:szCs w:val="24"/>
          <w:highlight w:val="none"/>
        </w:rPr>
        <w:t>学科育人</w:t>
      </w:r>
      <w:r>
        <w:rPr>
          <w:rFonts w:hint="eastAsia"/>
          <w:sz w:val="24"/>
          <w:szCs w:val="24"/>
          <w:highlight w:val="none"/>
          <w:lang w:val="en-US" w:eastAsia="zh-CN"/>
        </w:rPr>
        <w:t>的发展理念下</w:t>
      </w:r>
      <w:r>
        <w:rPr>
          <w:rFonts w:hint="eastAsia"/>
          <w:sz w:val="24"/>
          <w:szCs w:val="24"/>
          <w:highlight w:val="none"/>
        </w:rPr>
        <w:t>，以深化课程改革、深入挖掘与转化学科育人价值为导向，以</w:t>
      </w:r>
      <w:r>
        <w:rPr>
          <w:rFonts w:hint="eastAsia"/>
          <w:sz w:val="24"/>
          <w:szCs w:val="24"/>
          <w:highlight w:val="none"/>
          <w:lang w:val="en-US" w:eastAsia="zh-CN"/>
        </w:rPr>
        <w:t>课程</w:t>
      </w:r>
      <w:r>
        <w:rPr>
          <w:rFonts w:hint="eastAsia"/>
          <w:sz w:val="24"/>
          <w:szCs w:val="24"/>
          <w:highlight w:val="none"/>
        </w:rPr>
        <w:t>实施为落脚点，以专题深入性、专业性和创新性研究为突破点，以项目组先行，校区联动等方式，积极开展多层面立体式研究，推进多项制度保障施行，在此过程中促进教师的专业发展，提升</w:t>
      </w:r>
      <w:r>
        <w:rPr>
          <w:rFonts w:hint="eastAsia"/>
          <w:sz w:val="24"/>
          <w:szCs w:val="24"/>
          <w:highlight w:val="none"/>
          <w:lang w:val="en-US" w:eastAsia="zh-CN"/>
        </w:rPr>
        <w:t>教研</w:t>
      </w:r>
      <w:r>
        <w:rPr>
          <w:rFonts w:hint="eastAsia"/>
          <w:sz w:val="24"/>
          <w:szCs w:val="24"/>
          <w:highlight w:val="none"/>
        </w:rPr>
        <w:t>组自能研究，提升</w:t>
      </w:r>
      <w:r>
        <w:rPr>
          <w:rFonts w:hint="eastAsia"/>
          <w:sz w:val="24"/>
          <w:szCs w:val="24"/>
          <w:highlight w:val="none"/>
          <w:lang w:val="en-US" w:eastAsia="zh-CN"/>
        </w:rPr>
        <w:t>教师</w:t>
      </w:r>
      <w:r>
        <w:rPr>
          <w:rFonts w:hint="eastAsia"/>
          <w:sz w:val="24"/>
          <w:szCs w:val="24"/>
          <w:highlight w:val="none"/>
        </w:rPr>
        <w:t>的实践</w:t>
      </w:r>
      <w:r>
        <w:rPr>
          <w:rFonts w:hint="eastAsia"/>
          <w:sz w:val="24"/>
          <w:szCs w:val="24"/>
          <w:highlight w:val="none"/>
          <w:lang w:val="en-US" w:eastAsia="zh-CN"/>
        </w:rPr>
        <w:t>转化能力</w:t>
      </w:r>
      <w:r>
        <w:rPr>
          <w:rFonts w:hint="eastAsia"/>
          <w:sz w:val="24"/>
          <w:szCs w:val="24"/>
          <w:highlight w:val="none"/>
        </w:rPr>
        <w:t>，进而提升学生的</w:t>
      </w:r>
      <w:r>
        <w:rPr>
          <w:rFonts w:hint="eastAsia"/>
          <w:sz w:val="24"/>
          <w:szCs w:val="24"/>
          <w:highlight w:val="none"/>
          <w:lang w:val="en-US" w:eastAsia="zh-CN"/>
        </w:rPr>
        <w:t>学科</w:t>
      </w:r>
      <w:r>
        <w:rPr>
          <w:rFonts w:hint="eastAsia"/>
          <w:sz w:val="24"/>
          <w:szCs w:val="24"/>
          <w:highlight w:val="none"/>
        </w:rPr>
        <w:t>核心素养。</w:t>
      </w:r>
    </w:p>
    <w:p>
      <w:pPr>
        <w:numPr>
          <w:ilvl w:val="0"/>
          <w:numId w:val="0"/>
        </w:numPr>
        <w:snapToGrid w:val="0"/>
        <w:spacing w:before="0" w:after="0" w:line="360" w:lineRule="auto"/>
        <w:ind w:leftChars="0"/>
        <w:jc w:val="both"/>
        <w:rPr>
          <w:rFonts w:hint="default"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lang w:val="en-US" w:eastAsia="zh-CN"/>
        </w:rPr>
        <w:t>一、现状分析</w:t>
      </w:r>
    </w:p>
    <w:p>
      <w:pPr>
        <w:numPr>
          <w:ilvl w:val="0"/>
          <w:numId w:val="0"/>
        </w:numPr>
        <w:snapToGrid w:val="0"/>
        <w:spacing w:before="0" w:after="0" w:line="360" w:lineRule="auto"/>
        <w:ind w:leftChars="0"/>
        <w:jc w:val="both"/>
        <w:rPr>
          <w:rFonts w:hint="eastAsia"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lang w:val="en-US" w:eastAsia="zh-CN"/>
        </w:rPr>
        <w:t>1、区域背景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val="en-US" w:eastAsia="zh-CN"/>
        </w:rPr>
        <w:t>《常州市教科院2020-2021学年度第二学期小学科学教研工作计划》指出，要贯彻全国教育大会精神，落实立德树人根本任务。《新北区教师发展中心2020-2021学年度第二学期小学科学研训计划》指出，全面贯彻新课程理念，深化课程改革，以科学核心素养落地、生根、生长为目标，以课堂转型为重点，</w:t>
      </w:r>
      <w:r>
        <w:rPr>
          <w:rFonts w:hint="eastAsia"/>
          <w:sz w:val="24"/>
          <w:szCs w:val="24"/>
          <w:highlight w:val="none"/>
        </w:rPr>
        <w:t>深入开展“玩中学科学”、“做中学科学”课堂教学研讨活动。围绕课程实施中遇到的实际问题，开展</w:t>
      </w:r>
      <w:r>
        <w:rPr>
          <w:rFonts w:hint="eastAsia"/>
          <w:sz w:val="24"/>
          <w:szCs w:val="24"/>
          <w:highlight w:val="none"/>
          <w:lang w:eastAsia="zh-Hans"/>
        </w:rPr>
        <w:t>课题研究，提高教师的科研意识</w:t>
      </w:r>
      <w:r>
        <w:rPr>
          <w:rFonts w:hint="eastAsia"/>
          <w:sz w:val="24"/>
          <w:szCs w:val="24"/>
          <w:highlight w:val="none"/>
        </w:rPr>
        <w:t>、科研</w:t>
      </w:r>
      <w:r>
        <w:rPr>
          <w:rFonts w:hint="eastAsia"/>
          <w:sz w:val="24"/>
          <w:szCs w:val="24"/>
          <w:highlight w:val="none"/>
          <w:lang w:eastAsia="zh-Hans"/>
        </w:rPr>
        <w:t>能力</w:t>
      </w:r>
      <w:r>
        <w:rPr>
          <w:rFonts w:hint="eastAsia"/>
          <w:sz w:val="24"/>
          <w:szCs w:val="24"/>
          <w:highlight w:val="none"/>
        </w:rPr>
        <w:t>、课程实施能力</w:t>
      </w:r>
      <w:r>
        <w:rPr>
          <w:rFonts w:hint="eastAsia"/>
          <w:sz w:val="24"/>
          <w:szCs w:val="24"/>
          <w:highlight w:val="none"/>
          <w:lang w:eastAsia="zh-Hans"/>
        </w:rPr>
        <w:t>，</w:t>
      </w:r>
      <w:r>
        <w:rPr>
          <w:rFonts w:hint="eastAsia"/>
          <w:sz w:val="24"/>
          <w:szCs w:val="24"/>
          <w:highlight w:val="none"/>
        </w:rPr>
        <w:t>全面提升小学科学课程实施质量。</w:t>
      </w:r>
    </w:p>
    <w:p>
      <w:pPr>
        <w:bidi w:val="0"/>
        <w:rPr>
          <w:rFonts w:hint="default"/>
          <w:b/>
          <w:bCs/>
          <w:highlight w:val="none"/>
          <w:lang w:val="en-US" w:eastAsia="zh-CN"/>
        </w:rPr>
      </w:pPr>
    </w:p>
    <w:p>
      <w:pPr>
        <w:numPr>
          <w:ilvl w:val="0"/>
          <w:numId w:val="1"/>
        </w:numPr>
        <w:snapToGrid w:val="0"/>
        <w:spacing w:before="0" w:after="0" w:line="360" w:lineRule="auto"/>
        <w:ind w:left="0" w:leftChars="0" w:firstLine="0" w:firstLineChars="0"/>
        <w:jc w:val="both"/>
        <w:rPr>
          <w:rFonts w:ascii="宋体" w:hAnsi="宋体" w:eastAsia="宋体"/>
          <w:b/>
          <w:bCs/>
          <w:color w:val="000000"/>
          <w:sz w:val="24"/>
          <w:szCs w:val="24"/>
          <w:highlight w:val="none"/>
        </w:rPr>
      </w:pPr>
      <w:r>
        <w:rPr>
          <w:rFonts w:hint="eastAsia" w:ascii="宋体" w:hAnsi="宋体" w:eastAsia="宋体"/>
          <w:b/>
          <w:bCs/>
          <w:color w:val="000000"/>
          <w:sz w:val="24"/>
          <w:szCs w:val="24"/>
          <w:highlight w:val="none"/>
          <w:lang w:val="en-US" w:eastAsia="zh-CN"/>
        </w:rPr>
        <w:t>学校背景</w:t>
      </w:r>
    </w:p>
    <w:p>
      <w:pPr>
        <w:numPr>
          <w:ilvl w:val="0"/>
          <w:numId w:val="0"/>
        </w:numPr>
        <w:snapToGrid w:val="0"/>
        <w:spacing w:before="0" w:after="0" w:line="360" w:lineRule="auto"/>
        <w:ind w:leftChars="0"/>
        <w:jc w:val="both"/>
        <w:rPr>
          <w:rFonts w:hint="eastAsia"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lang w:val="en-US" w:eastAsia="zh-CN"/>
        </w:rPr>
        <w:t>优势分析：</w:t>
      </w:r>
    </w:p>
    <w:p>
      <w:pPr>
        <w:numPr>
          <w:ilvl w:val="0"/>
          <w:numId w:val="0"/>
        </w:numPr>
        <w:snapToGrid w:val="0"/>
        <w:spacing w:before="0" w:after="0" w:line="360" w:lineRule="auto"/>
        <w:ind w:firstLine="482" w:firstLineChars="200"/>
        <w:jc w:val="both"/>
        <w:rPr>
          <w:rFonts w:hint="default" w:ascii="宋体" w:hAnsi="宋体" w:eastAsia="宋体"/>
          <w:b/>
          <w:bCs/>
          <w:color w:val="000000"/>
          <w:sz w:val="24"/>
          <w:szCs w:val="24"/>
          <w:highlight w:val="none"/>
          <w:lang w:val="en-US" w:eastAsia="zh-CN"/>
        </w:rPr>
      </w:pPr>
      <w:r>
        <w:rPr>
          <w:rFonts w:hint="eastAsia" w:ascii="宋体" w:hAnsi="宋体" w:eastAsia="宋体"/>
          <w:b/>
          <w:bCs/>
          <w:color w:val="000000"/>
          <w:sz w:val="24"/>
          <w:szCs w:val="24"/>
          <w:highlight w:val="none"/>
          <w:lang w:eastAsia="zh-CN"/>
        </w:rPr>
        <w:t>（</w:t>
      </w:r>
      <w:r>
        <w:rPr>
          <w:rFonts w:hint="eastAsia" w:ascii="宋体" w:hAnsi="宋体" w:eastAsia="宋体"/>
          <w:b/>
          <w:bCs/>
          <w:color w:val="000000"/>
          <w:sz w:val="24"/>
          <w:szCs w:val="24"/>
          <w:highlight w:val="none"/>
          <w:lang w:val="en-US" w:eastAsia="zh-CN"/>
        </w:rPr>
        <w:t>1</w:t>
      </w:r>
      <w:r>
        <w:rPr>
          <w:rFonts w:hint="eastAsia" w:ascii="宋体" w:hAnsi="宋体" w:eastAsia="宋体"/>
          <w:b/>
          <w:bCs/>
          <w:color w:val="000000"/>
          <w:sz w:val="24"/>
          <w:szCs w:val="24"/>
          <w:highlight w:val="none"/>
          <w:lang w:eastAsia="zh-CN"/>
        </w:rPr>
        <w:t>）</w:t>
      </w:r>
      <w:r>
        <w:rPr>
          <w:rFonts w:ascii="宋体" w:hAnsi="宋体" w:eastAsia="宋体"/>
          <w:b/>
          <w:bCs/>
          <w:color w:val="000000"/>
          <w:sz w:val="24"/>
          <w:szCs w:val="24"/>
          <w:highlight w:val="none"/>
        </w:rPr>
        <w:t>学生培养有序列。</w:t>
      </w:r>
      <w:r>
        <w:rPr>
          <w:rFonts w:ascii="宋体" w:hAnsi="宋体" w:eastAsia="宋体"/>
          <w:color w:val="000000"/>
          <w:sz w:val="24"/>
          <w:szCs w:val="24"/>
          <w:highlight w:val="none"/>
        </w:rPr>
        <w:t>通过</w:t>
      </w:r>
      <w:r>
        <w:rPr>
          <w:rFonts w:hint="eastAsia" w:ascii="宋体" w:hAnsi="宋体" w:eastAsia="宋体"/>
          <w:color w:val="000000"/>
          <w:sz w:val="24"/>
          <w:szCs w:val="24"/>
          <w:highlight w:val="none"/>
          <w:lang w:val="en-US" w:eastAsia="zh-CN"/>
        </w:rPr>
        <w:t>继续</w:t>
      </w:r>
      <w:r>
        <w:rPr>
          <w:rFonts w:ascii="宋体" w:hAnsi="宋体" w:eastAsia="宋体"/>
          <w:color w:val="000000"/>
          <w:sz w:val="24"/>
          <w:szCs w:val="24"/>
          <w:highlight w:val="none"/>
        </w:rPr>
        <w:t>梳理学科关键能力以及改革学业水平评价表，</w:t>
      </w:r>
      <w:r>
        <w:rPr>
          <w:rFonts w:hint="eastAsia" w:ascii="宋体" w:hAnsi="宋体" w:eastAsia="宋体"/>
          <w:color w:val="000000"/>
          <w:sz w:val="24"/>
          <w:szCs w:val="24"/>
          <w:highlight w:val="none"/>
          <w:lang w:val="en-US" w:eastAsia="zh-CN"/>
        </w:rPr>
        <w:t>将科学素养的</w:t>
      </w:r>
      <w:r>
        <w:rPr>
          <w:rFonts w:ascii="宋体" w:hAnsi="宋体" w:eastAsia="宋体"/>
          <w:color w:val="000000"/>
          <w:sz w:val="24"/>
          <w:szCs w:val="24"/>
          <w:highlight w:val="none"/>
        </w:rPr>
        <w:t>培养聚焦到日常与过程性评价，行成了一定的学生培养规划目标导向与序列性，挖掘学科育人的价值。同时通过多层、多样、多平台的学生活动，进一步提升学生</w:t>
      </w:r>
      <w:r>
        <w:rPr>
          <w:rFonts w:hint="eastAsia" w:ascii="宋体" w:hAnsi="宋体" w:eastAsia="宋体"/>
          <w:color w:val="000000"/>
          <w:sz w:val="24"/>
          <w:szCs w:val="24"/>
          <w:highlight w:val="none"/>
          <w:lang w:val="en-US" w:eastAsia="zh-CN"/>
        </w:rPr>
        <w:t>科学</w:t>
      </w:r>
      <w:r>
        <w:rPr>
          <w:rFonts w:ascii="宋体" w:hAnsi="宋体" w:eastAsia="宋体"/>
          <w:color w:val="000000"/>
          <w:sz w:val="24"/>
          <w:szCs w:val="24"/>
          <w:highlight w:val="none"/>
        </w:rPr>
        <w:t>学科素养</w:t>
      </w:r>
      <w:r>
        <w:rPr>
          <w:rFonts w:hint="eastAsia" w:ascii="宋体" w:hAnsi="宋体" w:eastAsia="宋体"/>
          <w:color w:val="000000"/>
          <w:sz w:val="24"/>
          <w:szCs w:val="24"/>
          <w:highlight w:val="none"/>
          <w:lang w:eastAsia="zh-CN"/>
        </w:rPr>
        <w:t>。</w:t>
      </w:r>
    </w:p>
    <w:p>
      <w:pPr>
        <w:numPr>
          <w:ilvl w:val="0"/>
          <w:numId w:val="0"/>
        </w:numPr>
        <w:snapToGrid w:val="0"/>
        <w:spacing w:before="0" w:after="0" w:line="360" w:lineRule="auto"/>
        <w:ind w:firstLine="480" w:firstLineChars="200"/>
        <w:jc w:val="both"/>
        <w:rPr>
          <w:rFonts w:hint="default" w:ascii="宋体" w:hAnsi="宋体" w:eastAsia="宋体"/>
          <w:color w:val="000000"/>
          <w:sz w:val="24"/>
          <w:szCs w:val="24"/>
          <w:highlight w:val="none"/>
          <w:lang w:val="en-US" w:eastAsia="zh-CN"/>
        </w:rPr>
      </w:pPr>
      <w:r>
        <w:rPr>
          <w:rFonts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2</w:t>
      </w:r>
      <w:r>
        <w:rPr>
          <w:rFonts w:ascii="宋体" w:hAnsi="宋体" w:eastAsia="宋体"/>
          <w:color w:val="000000"/>
          <w:sz w:val="24"/>
          <w:szCs w:val="24"/>
          <w:highlight w:val="none"/>
        </w:rPr>
        <w:t>）</w:t>
      </w:r>
      <w:r>
        <w:rPr>
          <w:rFonts w:ascii="宋体" w:hAnsi="宋体" w:eastAsia="宋体"/>
          <w:b/>
          <w:bCs/>
          <w:color w:val="000000"/>
          <w:sz w:val="24"/>
          <w:szCs w:val="24"/>
          <w:highlight w:val="none"/>
        </w:rPr>
        <w:t>教师专业成长</w:t>
      </w:r>
      <w:r>
        <w:rPr>
          <w:rFonts w:hint="eastAsia" w:ascii="宋体" w:hAnsi="宋体" w:eastAsia="宋体"/>
          <w:b/>
          <w:bCs/>
          <w:color w:val="000000"/>
          <w:sz w:val="24"/>
          <w:szCs w:val="24"/>
          <w:highlight w:val="none"/>
          <w:lang w:val="en-US" w:eastAsia="zh-CN"/>
        </w:rPr>
        <w:t>有向发展</w:t>
      </w:r>
      <w:r>
        <w:rPr>
          <w:rFonts w:ascii="宋体" w:hAnsi="宋体" w:eastAsia="宋体"/>
          <w:b/>
          <w:bCs/>
          <w:color w:val="000000"/>
          <w:sz w:val="24"/>
          <w:szCs w:val="24"/>
          <w:highlight w:val="none"/>
        </w:rPr>
        <w:t>:</w:t>
      </w:r>
      <w:r>
        <w:rPr>
          <w:rFonts w:hint="eastAsia" w:ascii="宋体" w:hAnsi="宋体" w:eastAsia="宋体"/>
          <w:color w:val="000000"/>
          <w:sz w:val="24"/>
          <w:szCs w:val="24"/>
          <w:highlight w:val="none"/>
          <w:lang w:val="en-US" w:eastAsia="zh-CN"/>
        </w:rPr>
        <w:t>科学组</w:t>
      </w:r>
      <w:r>
        <w:rPr>
          <w:rFonts w:ascii="宋体" w:hAnsi="宋体" w:eastAsia="宋体"/>
          <w:color w:val="000000"/>
          <w:sz w:val="24"/>
          <w:szCs w:val="24"/>
          <w:highlight w:val="none"/>
        </w:rPr>
        <w:t>共有</w:t>
      </w:r>
      <w:r>
        <w:rPr>
          <w:rFonts w:hint="eastAsia" w:ascii="宋体" w:hAnsi="宋体" w:eastAsia="宋体"/>
          <w:color w:val="000000"/>
          <w:sz w:val="24"/>
          <w:szCs w:val="24"/>
          <w:highlight w:val="none"/>
          <w:lang w:val="en-US" w:eastAsia="zh-CN"/>
        </w:rPr>
        <w:t>5</w:t>
      </w:r>
      <w:r>
        <w:rPr>
          <w:rFonts w:ascii="宋体" w:hAnsi="宋体" w:eastAsia="宋体"/>
          <w:color w:val="000000"/>
          <w:sz w:val="24"/>
          <w:szCs w:val="24"/>
          <w:highlight w:val="none"/>
        </w:rPr>
        <w:t>名教师</w:t>
      </w:r>
      <w:r>
        <w:rPr>
          <w:rFonts w:hint="eastAsia" w:ascii="宋体" w:hAnsi="宋体" w:eastAsia="宋体"/>
          <w:color w:val="000000"/>
          <w:sz w:val="24"/>
          <w:szCs w:val="24"/>
          <w:highlight w:val="none"/>
          <w:lang w:eastAsia="zh-CN"/>
        </w:rPr>
        <w:t>，</w:t>
      </w:r>
      <w:r>
        <w:rPr>
          <w:rFonts w:hint="eastAsia" w:ascii="宋体" w:hAnsi="宋体" w:eastAsia="宋体"/>
          <w:color w:val="000000"/>
          <w:sz w:val="24"/>
          <w:szCs w:val="24"/>
          <w:highlight w:val="none"/>
          <w:lang w:val="en-US" w:eastAsia="zh-CN"/>
        </w:rPr>
        <w:t>上学期徐铭雪老师在每周16节课、担任班主任工作的情况下，努力拼搏获区信息化能手二等奖。</w:t>
      </w:r>
    </w:p>
    <w:tbl>
      <w:tblPr>
        <w:tblStyle w:val="5"/>
        <w:tblpPr w:leftFromText="180" w:rightFromText="180" w:vertAnchor="text" w:horzAnchor="page" w:tblpX="1077" w:tblpY="297"/>
        <w:tblOverlap w:val="never"/>
        <w:tblW w:w="9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41"/>
        <w:gridCol w:w="689"/>
        <w:gridCol w:w="780"/>
        <w:gridCol w:w="1012"/>
        <w:gridCol w:w="1190"/>
        <w:gridCol w:w="1031"/>
        <w:gridCol w:w="1110"/>
        <w:gridCol w:w="590"/>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65"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jc w:val="left"/>
              <w:rPr>
                <w:rFonts w:ascii="Times New Roman" w:hAnsi="Times New Roman" w:eastAsia="Times New Roman"/>
                <w:color w:val="000000"/>
                <w:sz w:val="18"/>
                <w:szCs w:val="18"/>
                <w:highlight w:val="none"/>
              </w:rPr>
            </w:pPr>
            <w:r>
              <w:rPr>
                <w:rFonts w:ascii="Times New Roman" w:hAnsi="Times New Roman" w:eastAsia="Times New Roman"/>
                <w:color w:val="000000"/>
                <w:sz w:val="18"/>
                <w:szCs w:val="18"/>
                <w:highlight w:val="none"/>
              </w:rPr>
              <w:t>学科</w:t>
            </w:r>
          </w:p>
        </w:tc>
        <w:tc>
          <w:tcPr>
            <w:tcW w:w="3222" w:type="dxa"/>
            <w:gridSpan w:val="4"/>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jc w:val="center"/>
              <w:rPr>
                <w:rFonts w:ascii="宋体" w:hAnsi="宋体" w:eastAsia="宋体"/>
                <w:color w:val="000000"/>
                <w:sz w:val="18"/>
                <w:szCs w:val="18"/>
                <w:highlight w:val="none"/>
              </w:rPr>
            </w:pPr>
            <w:r>
              <w:rPr>
                <w:rFonts w:ascii="Times New Roman" w:hAnsi="Times New Roman" w:eastAsia="Times New Roman"/>
                <w:color w:val="000000"/>
                <w:sz w:val="18"/>
                <w:szCs w:val="18"/>
                <w:highlight w:val="none"/>
              </w:rPr>
              <w:t>人数</w:t>
            </w:r>
          </w:p>
        </w:tc>
        <w:tc>
          <w:tcPr>
            <w:tcW w:w="1190" w:type="dxa"/>
            <w:vMerge w:val="restart"/>
            <w:tcBorders>
              <w:top w:val="single" w:color="000000" w:sz="8" w:space="0"/>
              <w:left w:val="single" w:color="000000" w:sz="8" w:space="0"/>
              <w:right w:val="single" w:color="000000" w:sz="8" w:space="0"/>
            </w:tcBorders>
            <w:vAlign w:val="center"/>
          </w:tcPr>
          <w:p>
            <w:pPr>
              <w:snapToGrid w:val="0"/>
              <w:spacing w:before="0" w:after="0" w:line="360" w:lineRule="auto"/>
              <w:jc w:val="left"/>
              <w:rPr>
                <w:rFonts w:ascii="宋体" w:hAnsi="宋体" w:eastAsia="宋体"/>
                <w:color w:val="000000"/>
                <w:sz w:val="18"/>
                <w:szCs w:val="18"/>
                <w:highlight w:val="none"/>
              </w:rPr>
            </w:pPr>
            <w:r>
              <w:rPr>
                <w:rFonts w:ascii="宋体" w:hAnsi="宋体" w:eastAsia="宋体"/>
                <w:color w:val="000000"/>
                <w:sz w:val="18"/>
                <w:szCs w:val="18"/>
                <w:highlight w:val="none"/>
              </w:rPr>
              <w:t>1-2</w:t>
            </w:r>
          </w:p>
          <w:p>
            <w:pPr>
              <w:snapToGrid w:val="0"/>
              <w:spacing w:before="0" w:after="0" w:line="360" w:lineRule="auto"/>
              <w:jc w:val="left"/>
              <w:rPr>
                <w:rFonts w:ascii="宋体" w:hAnsi="宋体" w:eastAsia="宋体"/>
                <w:color w:val="000000"/>
                <w:sz w:val="18"/>
                <w:szCs w:val="18"/>
                <w:highlight w:val="none"/>
              </w:rPr>
            </w:pPr>
            <w:r>
              <w:rPr>
                <w:rFonts w:ascii="宋体" w:hAnsi="宋体" w:eastAsia="宋体"/>
                <w:color w:val="000000"/>
                <w:sz w:val="18"/>
                <w:szCs w:val="18"/>
                <w:highlight w:val="none"/>
              </w:rPr>
              <w:t>年教师</w:t>
            </w:r>
          </w:p>
        </w:tc>
        <w:tc>
          <w:tcPr>
            <w:tcW w:w="1031" w:type="dxa"/>
            <w:vMerge w:val="restart"/>
            <w:tcBorders>
              <w:top w:val="single" w:color="000000" w:sz="8" w:space="0"/>
              <w:left w:val="single" w:color="000000" w:sz="8" w:space="0"/>
              <w:right w:val="single" w:color="000000" w:sz="8" w:space="0"/>
            </w:tcBorders>
            <w:vAlign w:val="center"/>
          </w:tcPr>
          <w:p>
            <w:pPr>
              <w:snapToGrid w:val="0"/>
              <w:spacing w:before="0" w:after="0" w:line="360" w:lineRule="auto"/>
              <w:jc w:val="left"/>
              <w:rPr>
                <w:rFonts w:ascii="宋体" w:hAnsi="宋体" w:eastAsia="宋体"/>
                <w:color w:val="000000"/>
                <w:sz w:val="18"/>
                <w:szCs w:val="18"/>
                <w:highlight w:val="none"/>
              </w:rPr>
            </w:pPr>
            <w:r>
              <w:rPr>
                <w:rFonts w:ascii="宋体" w:hAnsi="宋体" w:eastAsia="宋体"/>
                <w:color w:val="000000"/>
                <w:sz w:val="18"/>
                <w:szCs w:val="18"/>
                <w:highlight w:val="none"/>
              </w:rPr>
              <w:t>3-5</w:t>
            </w:r>
          </w:p>
          <w:p>
            <w:pPr>
              <w:snapToGrid w:val="0"/>
              <w:spacing w:before="0" w:after="0" w:line="360" w:lineRule="auto"/>
              <w:jc w:val="left"/>
              <w:rPr>
                <w:rFonts w:ascii="宋体" w:hAnsi="宋体" w:eastAsia="宋体"/>
                <w:color w:val="000000"/>
                <w:sz w:val="18"/>
                <w:szCs w:val="18"/>
                <w:highlight w:val="none"/>
              </w:rPr>
            </w:pPr>
            <w:r>
              <w:rPr>
                <w:rFonts w:ascii="宋体" w:hAnsi="宋体" w:eastAsia="宋体"/>
                <w:color w:val="000000"/>
                <w:sz w:val="18"/>
                <w:szCs w:val="18"/>
                <w:highlight w:val="none"/>
              </w:rPr>
              <w:t>年教师</w:t>
            </w:r>
          </w:p>
        </w:tc>
        <w:tc>
          <w:tcPr>
            <w:tcW w:w="1110" w:type="dxa"/>
            <w:vMerge w:val="restart"/>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jc w:val="left"/>
              <w:rPr>
                <w:rFonts w:ascii="宋体" w:hAnsi="宋体" w:eastAsia="宋体"/>
                <w:color w:val="000000"/>
                <w:sz w:val="18"/>
                <w:szCs w:val="18"/>
                <w:highlight w:val="none"/>
              </w:rPr>
            </w:pPr>
            <w:r>
              <w:rPr>
                <w:rFonts w:ascii="宋体" w:hAnsi="宋体" w:eastAsia="宋体"/>
                <w:color w:val="000000"/>
                <w:sz w:val="18"/>
                <w:szCs w:val="18"/>
                <w:highlight w:val="none"/>
              </w:rPr>
              <w:t>5年</w:t>
            </w:r>
          </w:p>
          <w:p>
            <w:pPr>
              <w:snapToGrid w:val="0"/>
              <w:spacing w:before="0" w:after="0" w:line="360" w:lineRule="auto"/>
              <w:jc w:val="left"/>
              <w:rPr>
                <w:rFonts w:ascii="宋体" w:hAnsi="宋体" w:eastAsia="宋体"/>
                <w:color w:val="000000"/>
                <w:sz w:val="18"/>
                <w:szCs w:val="18"/>
                <w:highlight w:val="none"/>
              </w:rPr>
            </w:pPr>
            <w:r>
              <w:rPr>
                <w:rFonts w:ascii="宋体" w:hAnsi="宋体" w:eastAsia="宋体"/>
                <w:color w:val="000000"/>
                <w:sz w:val="18"/>
                <w:szCs w:val="18"/>
                <w:highlight w:val="none"/>
              </w:rPr>
              <w:t>以上教师</w:t>
            </w:r>
          </w:p>
        </w:tc>
        <w:tc>
          <w:tcPr>
            <w:tcW w:w="2079" w:type="dxa"/>
            <w:gridSpan w:val="2"/>
            <w:vMerge w:val="restart"/>
            <w:tcBorders>
              <w:top w:val="single" w:color="000000" w:sz="8" w:space="0"/>
              <w:left w:val="single" w:color="000000" w:sz="8" w:space="0"/>
              <w:right w:val="single" w:color="000000" w:sz="8" w:space="0"/>
            </w:tcBorders>
            <w:vAlign w:val="center"/>
          </w:tcPr>
          <w:p>
            <w:pPr>
              <w:snapToGrid w:val="0"/>
              <w:spacing w:before="0" w:after="0" w:line="360" w:lineRule="auto"/>
              <w:ind w:firstLine="720" w:firstLineChars="400"/>
              <w:jc w:val="left"/>
              <w:rPr>
                <w:rFonts w:ascii="Times New Roman" w:hAnsi="Times New Roman" w:eastAsia="Times New Roman"/>
                <w:b/>
                <w:bCs/>
                <w:color w:val="000000"/>
                <w:sz w:val="18"/>
                <w:szCs w:val="18"/>
                <w:highlight w:val="none"/>
              </w:rPr>
            </w:pPr>
            <w:r>
              <w:rPr>
                <w:rFonts w:ascii="Times New Roman" w:hAnsi="Times New Roman" w:eastAsia="Times New Roman"/>
                <w:color w:val="000000"/>
                <w:sz w:val="18"/>
                <w:szCs w:val="18"/>
                <w:highlight w:val="none"/>
              </w:rPr>
              <w:t>五级梯队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ascii="Times New Roman" w:hAnsi="Times New Roman" w:eastAsia="Times New Roman"/>
                <w:color w:val="000000"/>
                <w:sz w:val="18"/>
                <w:szCs w:val="18"/>
                <w:highlight w:val="none"/>
              </w:rPr>
            </w:pPr>
          </w:p>
        </w:tc>
        <w:tc>
          <w:tcPr>
            <w:tcW w:w="74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jc w:val="left"/>
              <w:rPr>
                <w:rFonts w:ascii="Times New Roman" w:hAnsi="Times New Roman" w:eastAsia="Times New Roman"/>
                <w:color w:val="000000"/>
                <w:sz w:val="18"/>
                <w:szCs w:val="18"/>
                <w:highlight w:val="none"/>
              </w:rPr>
            </w:pPr>
            <w:r>
              <w:rPr>
                <w:rFonts w:ascii="Times New Roman" w:hAnsi="Times New Roman" w:eastAsia="Times New Roman"/>
                <w:color w:val="000000"/>
                <w:sz w:val="18"/>
                <w:szCs w:val="18"/>
                <w:highlight w:val="none"/>
              </w:rPr>
              <w:t>总数</w:t>
            </w:r>
          </w:p>
        </w:tc>
        <w:tc>
          <w:tcPr>
            <w:tcW w:w="689"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jc w:val="left"/>
              <w:rPr>
                <w:rFonts w:ascii="Times New Roman" w:hAnsi="Times New Roman" w:eastAsia="Times New Roman"/>
                <w:color w:val="000000"/>
                <w:sz w:val="18"/>
                <w:szCs w:val="18"/>
                <w:highlight w:val="none"/>
              </w:rPr>
            </w:pPr>
            <w:r>
              <w:rPr>
                <w:rFonts w:ascii="Times New Roman" w:hAnsi="Times New Roman" w:eastAsia="Times New Roman"/>
                <w:color w:val="000000"/>
                <w:sz w:val="18"/>
                <w:szCs w:val="18"/>
                <w:highlight w:val="none"/>
              </w:rPr>
              <w:t>在编</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jc w:val="left"/>
              <w:rPr>
                <w:rFonts w:hint="eastAsia" w:ascii="Times New Roman" w:hAnsi="Times New Roman" w:eastAsia="宋体"/>
                <w:color w:val="000000"/>
                <w:sz w:val="18"/>
                <w:szCs w:val="18"/>
                <w:highlight w:val="none"/>
                <w:lang w:eastAsia="zh-CN"/>
              </w:rPr>
            </w:pPr>
            <w:r>
              <w:rPr>
                <w:rFonts w:hint="eastAsia" w:ascii="Times New Roman" w:hAnsi="Times New Roman" w:eastAsia="宋体"/>
                <w:color w:val="000000"/>
                <w:sz w:val="18"/>
                <w:szCs w:val="18"/>
                <w:highlight w:val="none"/>
                <w:lang w:val="en-US" w:eastAsia="zh-CN"/>
              </w:rPr>
              <w:t>区聘</w:t>
            </w:r>
          </w:p>
        </w:tc>
        <w:tc>
          <w:tcPr>
            <w:tcW w:w="101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firstLine="180" w:firstLineChars="100"/>
              <w:jc w:val="left"/>
              <w:rPr>
                <w:rFonts w:hint="eastAsia" w:ascii="Times New Roman" w:hAnsi="Times New Roman" w:eastAsia="宋体"/>
                <w:color w:val="000000"/>
                <w:sz w:val="18"/>
                <w:szCs w:val="18"/>
                <w:highlight w:val="none"/>
                <w:lang w:val="en-US" w:eastAsia="zh-CN"/>
              </w:rPr>
            </w:pPr>
            <w:r>
              <w:rPr>
                <w:rFonts w:hint="eastAsia" w:ascii="Times New Roman" w:hAnsi="Times New Roman"/>
                <w:color w:val="000000"/>
                <w:sz w:val="18"/>
                <w:szCs w:val="18"/>
                <w:highlight w:val="none"/>
                <w:lang w:val="en-US" w:eastAsia="zh-CN"/>
              </w:rPr>
              <w:t>代课</w:t>
            </w:r>
          </w:p>
        </w:tc>
        <w:tc>
          <w:tcPr>
            <w:tcW w:w="1190" w:type="dxa"/>
            <w:vMerge w:val="continue"/>
            <w:tcBorders>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ascii="Times New Roman" w:hAnsi="Times New Roman" w:eastAsia="Times New Roman"/>
                <w:color w:val="000000"/>
                <w:sz w:val="18"/>
                <w:szCs w:val="18"/>
                <w:highlight w:val="none"/>
              </w:rPr>
            </w:pPr>
          </w:p>
        </w:tc>
        <w:tc>
          <w:tcPr>
            <w:tcW w:w="1031" w:type="dxa"/>
            <w:vMerge w:val="continue"/>
            <w:tcBorders>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ascii="Times New Roman" w:hAnsi="Times New Roman" w:eastAsia="Times New Roman"/>
                <w:color w:val="000000"/>
                <w:sz w:val="18"/>
                <w:szCs w:val="18"/>
                <w:highlight w:val="none"/>
              </w:rPr>
            </w:pPr>
          </w:p>
        </w:tc>
        <w:tc>
          <w:tcPr>
            <w:tcW w:w="111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ascii="Times New Roman" w:hAnsi="Times New Roman" w:eastAsia="Times New Roman"/>
                <w:color w:val="000000"/>
                <w:sz w:val="18"/>
                <w:szCs w:val="18"/>
                <w:highlight w:val="none"/>
              </w:rPr>
            </w:pPr>
          </w:p>
        </w:tc>
        <w:tc>
          <w:tcPr>
            <w:tcW w:w="2079" w:type="dxa"/>
            <w:gridSpan w:val="2"/>
            <w:vMerge w:val="continue"/>
            <w:tcBorders>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ascii="Times New Roman" w:hAnsi="Times New Roman" w:eastAsia="Times New Roman"/>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65"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jc w:val="left"/>
              <w:rPr>
                <w:rFonts w:ascii="Times New Roman" w:hAnsi="Times New Roman" w:eastAsia="Times New Roman"/>
                <w:color w:val="000000"/>
                <w:sz w:val="18"/>
                <w:szCs w:val="18"/>
                <w:highlight w:val="none"/>
              </w:rPr>
            </w:pPr>
            <w:r>
              <w:rPr>
                <w:rFonts w:ascii="Times New Roman" w:hAnsi="Times New Roman" w:eastAsia="Times New Roman"/>
                <w:color w:val="000000"/>
                <w:sz w:val="18"/>
                <w:szCs w:val="18"/>
                <w:highlight w:val="none"/>
              </w:rPr>
              <w:t>科学</w:t>
            </w:r>
          </w:p>
        </w:tc>
        <w:tc>
          <w:tcPr>
            <w:tcW w:w="74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ascii="宋体" w:hAnsi="宋体" w:eastAsia="宋体"/>
                <w:color w:val="000000"/>
                <w:sz w:val="18"/>
                <w:szCs w:val="18"/>
                <w:highlight w:val="none"/>
              </w:rPr>
            </w:pPr>
            <w:r>
              <w:rPr>
                <w:rFonts w:ascii="宋体" w:hAnsi="宋体" w:eastAsia="宋体"/>
                <w:color w:val="000000"/>
                <w:sz w:val="18"/>
                <w:szCs w:val="18"/>
                <w:highlight w:val="none"/>
              </w:rPr>
              <w:t>5</w:t>
            </w:r>
          </w:p>
        </w:tc>
        <w:tc>
          <w:tcPr>
            <w:tcW w:w="689"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hint="eastAsia" w:ascii="宋体" w:hAnsi="宋体" w:eastAsia="宋体"/>
                <w:color w:val="000000"/>
                <w:sz w:val="18"/>
                <w:szCs w:val="18"/>
                <w:highlight w:val="none"/>
                <w:lang w:eastAsia="zh-CN"/>
              </w:rPr>
            </w:pPr>
            <w:r>
              <w:rPr>
                <w:rFonts w:hint="eastAsia" w:ascii="宋体" w:hAnsi="宋体" w:eastAsia="宋体"/>
                <w:color w:val="000000"/>
                <w:sz w:val="18"/>
                <w:szCs w:val="18"/>
                <w:highlight w:val="none"/>
                <w:lang w:val="en-US" w:eastAsia="zh-CN"/>
              </w:rPr>
              <w:t>2</w:t>
            </w:r>
          </w:p>
        </w:tc>
        <w:tc>
          <w:tcPr>
            <w:tcW w:w="78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hint="eastAsia" w:ascii="宋体" w:hAnsi="宋体" w:eastAsia="宋体"/>
                <w:color w:val="000000"/>
                <w:sz w:val="18"/>
                <w:szCs w:val="18"/>
                <w:highlight w:val="none"/>
                <w:lang w:eastAsia="zh-CN"/>
              </w:rPr>
            </w:pPr>
            <w:r>
              <w:rPr>
                <w:rFonts w:hint="eastAsia" w:ascii="宋体" w:hAnsi="宋体" w:eastAsia="宋体"/>
                <w:color w:val="000000"/>
                <w:sz w:val="18"/>
                <w:szCs w:val="18"/>
                <w:highlight w:val="none"/>
                <w:lang w:val="en-US" w:eastAsia="zh-CN"/>
              </w:rPr>
              <w:t>1</w:t>
            </w:r>
          </w:p>
        </w:tc>
        <w:tc>
          <w:tcPr>
            <w:tcW w:w="1012"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jc w:val="left"/>
              <w:rPr>
                <w:rFonts w:hint="eastAsia" w:ascii="宋体" w:hAnsi="宋体" w:eastAsia="宋体"/>
                <w:color w:val="000000"/>
                <w:sz w:val="18"/>
                <w:szCs w:val="18"/>
                <w:highlight w:val="none"/>
                <w:lang w:val="en-US" w:eastAsia="zh-CN"/>
              </w:rPr>
            </w:pPr>
            <w:r>
              <w:rPr>
                <w:rFonts w:hint="eastAsia" w:ascii="宋体" w:hAnsi="宋体" w:eastAsia="宋体"/>
                <w:color w:val="000000"/>
                <w:sz w:val="18"/>
                <w:szCs w:val="18"/>
                <w:highlight w:val="none"/>
                <w:lang w:val="en-US" w:eastAsia="zh-CN"/>
              </w:rPr>
              <w:t>2</w:t>
            </w:r>
          </w:p>
        </w:tc>
        <w:tc>
          <w:tcPr>
            <w:tcW w:w="11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hint="eastAsia" w:ascii="宋体" w:hAnsi="宋体" w:eastAsia="宋体"/>
                <w:color w:val="000000"/>
                <w:sz w:val="18"/>
                <w:szCs w:val="18"/>
                <w:highlight w:val="none"/>
                <w:lang w:eastAsia="zh-CN"/>
              </w:rPr>
            </w:pPr>
            <w:r>
              <w:rPr>
                <w:rFonts w:hint="eastAsia" w:ascii="宋体" w:hAnsi="宋体" w:eastAsia="宋体"/>
                <w:color w:val="000000"/>
                <w:sz w:val="18"/>
                <w:szCs w:val="18"/>
                <w:highlight w:val="none"/>
                <w:lang w:val="en-US" w:eastAsia="zh-CN"/>
              </w:rPr>
              <w:t>1</w:t>
            </w:r>
          </w:p>
        </w:tc>
        <w:tc>
          <w:tcPr>
            <w:tcW w:w="1031"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hint="eastAsia" w:ascii="宋体" w:hAnsi="宋体" w:eastAsia="宋体"/>
                <w:color w:val="000000"/>
                <w:sz w:val="18"/>
                <w:szCs w:val="18"/>
                <w:highlight w:val="none"/>
                <w:lang w:eastAsia="zh-CN"/>
              </w:rPr>
            </w:pPr>
            <w:r>
              <w:rPr>
                <w:rFonts w:hint="eastAsia" w:ascii="宋体" w:hAnsi="宋体" w:eastAsia="宋体"/>
                <w:color w:val="000000"/>
                <w:sz w:val="18"/>
                <w:szCs w:val="18"/>
                <w:highlight w:val="none"/>
                <w:lang w:val="en-US" w:eastAsia="zh-CN"/>
              </w:rPr>
              <w:t>3</w:t>
            </w:r>
          </w:p>
        </w:tc>
        <w:tc>
          <w:tcPr>
            <w:tcW w:w="111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ascii="宋体" w:hAnsi="宋体" w:eastAsia="宋体"/>
                <w:color w:val="000000"/>
                <w:sz w:val="18"/>
                <w:szCs w:val="18"/>
                <w:highlight w:val="none"/>
              </w:rPr>
            </w:pPr>
            <w:r>
              <w:rPr>
                <w:rFonts w:ascii="宋体" w:hAnsi="宋体" w:eastAsia="宋体"/>
                <w:color w:val="000000"/>
                <w:sz w:val="18"/>
                <w:szCs w:val="18"/>
                <w:highlight w:val="none"/>
              </w:rPr>
              <w:t>1</w:t>
            </w:r>
          </w:p>
        </w:tc>
        <w:tc>
          <w:tcPr>
            <w:tcW w:w="590"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ascii="宋体" w:hAnsi="宋体" w:eastAsia="宋体"/>
                <w:color w:val="000000"/>
                <w:sz w:val="18"/>
                <w:szCs w:val="18"/>
                <w:highlight w:val="none"/>
              </w:rPr>
            </w:pPr>
            <w:r>
              <w:rPr>
                <w:rFonts w:ascii="宋体" w:hAnsi="宋体" w:eastAsia="宋体"/>
                <w:color w:val="000000"/>
                <w:sz w:val="18"/>
                <w:szCs w:val="18"/>
                <w:highlight w:val="none"/>
              </w:rPr>
              <w:t>1</w:t>
            </w:r>
          </w:p>
        </w:tc>
        <w:tc>
          <w:tcPr>
            <w:tcW w:w="1489" w:type="dxa"/>
            <w:tcBorders>
              <w:top w:val="single" w:color="000000" w:sz="8" w:space="0"/>
              <w:left w:val="single" w:color="000000" w:sz="8" w:space="0"/>
              <w:bottom w:val="single" w:color="000000" w:sz="8" w:space="0"/>
              <w:right w:val="single" w:color="000000" w:sz="8" w:space="0"/>
            </w:tcBorders>
            <w:vAlign w:val="center"/>
          </w:tcPr>
          <w:p>
            <w:pPr>
              <w:snapToGrid w:val="0"/>
              <w:spacing w:before="0" w:after="0" w:line="360" w:lineRule="auto"/>
              <w:ind w:firstLineChars="20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区学带</w:t>
            </w:r>
          </w:p>
        </w:tc>
      </w:tr>
    </w:tbl>
    <w:p>
      <w:pPr>
        <w:numPr>
          <w:ilvl w:val="0"/>
          <w:numId w:val="0"/>
        </w:numPr>
        <w:snapToGrid w:val="0"/>
        <w:spacing w:before="0" w:after="0" w:line="360" w:lineRule="auto"/>
        <w:ind w:leftChars="200"/>
        <w:jc w:val="left"/>
        <w:rPr>
          <w:rFonts w:hint="default" w:ascii="宋体" w:hAnsi="宋体" w:eastAsia="宋体"/>
          <w:color w:val="000000"/>
          <w:sz w:val="24"/>
          <w:szCs w:val="24"/>
          <w:highlight w:val="none"/>
          <w:lang w:val="en-US" w:eastAsia="zh-CN"/>
        </w:rPr>
      </w:pPr>
      <w:r>
        <w:rPr>
          <w:rFonts w:hint="eastAsia" w:ascii="宋体" w:hAnsi="宋体" w:eastAsia="宋体"/>
          <w:b/>
          <w:bCs/>
          <w:color w:val="000000"/>
          <w:sz w:val="24"/>
          <w:szCs w:val="24"/>
          <w:highlight w:val="none"/>
          <w:lang w:eastAsia="zh-CN"/>
        </w:rPr>
        <w:t>（</w:t>
      </w:r>
      <w:r>
        <w:rPr>
          <w:rFonts w:hint="eastAsia" w:ascii="宋体" w:hAnsi="宋体" w:eastAsia="宋体"/>
          <w:b/>
          <w:bCs/>
          <w:color w:val="000000"/>
          <w:sz w:val="24"/>
          <w:szCs w:val="24"/>
          <w:highlight w:val="none"/>
          <w:lang w:val="en-US" w:eastAsia="zh-CN"/>
        </w:rPr>
        <w:t>3</w:t>
      </w:r>
      <w:r>
        <w:rPr>
          <w:rFonts w:hint="eastAsia" w:ascii="宋体" w:hAnsi="宋体" w:eastAsia="宋体"/>
          <w:b/>
          <w:bCs/>
          <w:color w:val="000000"/>
          <w:sz w:val="24"/>
          <w:szCs w:val="24"/>
          <w:highlight w:val="none"/>
          <w:lang w:eastAsia="zh-CN"/>
        </w:rPr>
        <w:t>）</w:t>
      </w:r>
      <w:r>
        <w:rPr>
          <w:rFonts w:hint="eastAsia" w:ascii="宋体" w:hAnsi="宋体" w:eastAsia="宋体"/>
          <w:b/>
          <w:bCs/>
          <w:color w:val="000000"/>
          <w:sz w:val="24"/>
          <w:szCs w:val="24"/>
          <w:highlight w:val="none"/>
          <w:lang w:val="en-US" w:eastAsia="zh-CN"/>
        </w:rPr>
        <w:t>教学场地、器材资源充足。</w:t>
      </w:r>
      <w:r>
        <w:rPr>
          <w:rFonts w:hint="eastAsia" w:ascii="宋体" w:hAnsi="宋体" w:eastAsia="宋体"/>
          <w:color w:val="000000"/>
          <w:sz w:val="24"/>
          <w:szCs w:val="24"/>
          <w:highlight w:val="none"/>
          <w:lang w:val="en-US" w:eastAsia="zh-CN"/>
        </w:rPr>
        <w:t>有专用教室6个，仪器室1个，满足学生的各种学习与展示需求。</w:t>
      </w:r>
    </w:p>
    <w:p>
      <w:pPr>
        <w:snapToGrid w:val="0"/>
        <w:spacing w:before="0" w:after="0" w:line="360" w:lineRule="auto"/>
        <w:ind w:firstLineChars="200"/>
        <w:jc w:val="both"/>
        <w:rPr>
          <w:rFonts w:ascii="宋体" w:hAnsi="宋体" w:eastAsia="宋体"/>
          <w:b/>
          <w:bCs/>
          <w:color w:val="000000"/>
          <w:sz w:val="24"/>
          <w:szCs w:val="24"/>
          <w:highlight w:val="none"/>
        </w:rPr>
      </w:pPr>
      <w:r>
        <w:rPr>
          <w:rFonts w:ascii="宋体" w:hAnsi="宋体" w:eastAsia="宋体"/>
          <w:b/>
          <w:bCs/>
          <w:color w:val="000000"/>
          <w:sz w:val="24"/>
          <w:szCs w:val="24"/>
          <w:highlight w:val="none"/>
        </w:rPr>
        <w:t>2、潜势分析：</w:t>
      </w:r>
    </w:p>
    <w:p>
      <w:pPr>
        <w:snapToGrid w:val="0"/>
        <w:spacing w:before="0" w:after="0" w:line="360" w:lineRule="auto"/>
        <w:ind w:firstLineChars="200"/>
        <w:jc w:val="both"/>
        <w:rPr>
          <w:rFonts w:ascii="宋体" w:hAnsi="宋体" w:eastAsia="宋体"/>
          <w:b/>
          <w:bCs/>
          <w:color w:val="000000"/>
          <w:sz w:val="24"/>
          <w:szCs w:val="24"/>
          <w:highlight w:val="none"/>
        </w:rPr>
      </w:pPr>
      <w:r>
        <w:rPr>
          <w:rFonts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eastAsia="zh-CN"/>
        </w:rPr>
        <w:t>1</w:t>
      </w:r>
      <w:r>
        <w:rPr>
          <w:rFonts w:ascii="宋体" w:hAnsi="宋体" w:eastAsia="宋体"/>
          <w:b/>
          <w:bCs/>
          <w:color w:val="000000"/>
          <w:sz w:val="24"/>
          <w:szCs w:val="24"/>
          <w:highlight w:val="none"/>
        </w:rPr>
        <w:t>）学生培养：</w:t>
      </w:r>
      <w:r>
        <w:rPr>
          <w:rFonts w:hint="eastAsia" w:ascii="宋体" w:hAnsi="宋体" w:eastAsia="宋体"/>
          <w:b/>
          <w:bCs/>
          <w:color w:val="000000"/>
          <w:sz w:val="24"/>
          <w:szCs w:val="24"/>
          <w:highlight w:val="none"/>
          <w:lang w:val="en-US" w:eastAsia="zh-CN"/>
        </w:rPr>
        <w:t>在发展</w:t>
      </w:r>
      <w:r>
        <w:rPr>
          <w:rFonts w:ascii="宋体" w:hAnsi="宋体" w:eastAsia="宋体"/>
          <w:b/>
          <w:bCs/>
          <w:color w:val="000000"/>
          <w:sz w:val="24"/>
          <w:szCs w:val="24"/>
          <w:highlight w:val="none"/>
        </w:rPr>
        <w:t>学</w:t>
      </w:r>
      <w:r>
        <w:rPr>
          <w:rFonts w:ascii="宋体" w:hAnsi="宋体" w:eastAsia="宋体"/>
          <w:color w:val="000000"/>
          <w:sz w:val="24"/>
          <w:szCs w:val="24"/>
          <w:highlight w:val="none"/>
        </w:rPr>
        <w:t>生</w:t>
      </w:r>
      <w:r>
        <w:rPr>
          <w:rFonts w:hint="eastAsia" w:ascii="宋体" w:hAnsi="宋体" w:eastAsia="宋体"/>
          <w:color w:val="000000"/>
          <w:sz w:val="24"/>
          <w:szCs w:val="24"/>
          <w:highlight w:val="none"/>
          <w:lang w:val="en-US" w:eastAsia="zh-CN"/>
        </w:rPr>
        <w:t>技能的基础上，还需从知识、技能、专项技能三方面进行序列化的培养，根据</w:t>
      </w:r>
      <w:r>
        <w:rPr>
          <w:rFonts w:ascii="宋体" w:hAnsi="宋体" w:eastAsia="宋体"/>
          <w:color w:val="000000"/>
          <w:sz w:val="24"/>
          <w:szCs w:val="24"/>
          <w:highlight w:val="none"/>
        </w:rPr>
        <w:t>学业水平考核年历表，研究过程性评价与个性评价。</w:t>
      </w:r>
    </w:p>
    <w:p>
      <w:pPr>
        <w:snapToGrid w:val="0"/>
        <w:spacing w:before="0" w:after="0" w:line="360" w:lineRule="auto"/>
        <w:ind w:firstLineChars="200"/>
        <w:jc w:val="both"/>
        <w:rPr>
          <w:rFonts w:ascii="宋体" w:hAnsi="宋体" w:eastAsia="宋体"/>
          <w:color w:val="000000"/>
          <w:sz w:val="24"/>
          <w:szCs w:val="24"/>
          <w:highlight w:val="none"/>
        </w:rPr>
      </w:pPr>
      <w:r>
        <w:rPr>
          <w:rFonts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eastAsia="zh-CN"/>
        </w:rPr>
        <w:t>2</w:t>
      </w:r>
      <w:r>
        <w:rPr>
          <w:rFonts w:ascii="宋体" w:hAnsi="宋体" w:eastAsia="宋体"/>
          <w:b/>
          <w:bCs/>
          <w:color w:val="000000"/>
          <w:sz w:val="24"/>
          <w:szCs w:val="24"/>
          <w:highlight w:val="none"/>
        </w:rPr>
        <w:t>）课程建设：</w:t>
      </w:r>
      <w:r>
        <w:rPr>
          <w:rFonts w:hint="eastAsia" w:ascii="宋体" w:hAnsi="宋体" w:eastAsia="宋体"/>
          <w:color w:val="000000"/>
          <w:sz w:val="24"/>
          <w:szCs w:val="24"/>
          <w:highlight w:val="none"/>
          <w:lang w:val="en-US" w:eastAsia="zh-CN"/>
        </w:rPr>
        <w:t>基于学科关键能力，要</w:t>
      </w:r>
      <w:r>
        <w:rPr>
          <w:rFonts w:ascii="宋体" w:hAnsi="宋体" w:eastAsia="宋体"/>
          <w:color w:val="000000"/>
          <w:sz w:val="24"/>
          <w:szCs w:val="24"/>
          <w:highlight w:val="none"/>
        </w:rPr>
        <w:t>加强</w:t>
      </w:r>
      <w:r>
        <w:rPr>
          <w:rFonts w:hint="eastAsia" w:ascii="宋体" w:hAnsi="宋体" w:eastAsia="宋体"/>
          <w:color w:val="000000"/>
          <w:sz w:val="24"/>
          <w:szCs w:val="24"/>
          <w:highlight w:val="none"/>
          <w:lang w:val="en-US" w:eastAsia="zh-CN"/>
        </w:rPr>
        <w:t>课程</w:t>
      </w:r>
      <w:r>
        <w:rPr>
          <w:rFonts w:ascii="宋体" w:hAnsi="宋体" w:eastAsia="宋体"/>
          <w:color w:val="000000"/>
          <w:sz w:val="24"/>
          <w:szCs w:val="24"/>
          <w:highlight w:val="none"/>
        </w:rPr>
        <w:t>年段</w:t>
      </w:r>
      <w:r>
        <w:rPr>
          <w:rFonts w:hint="eastAsia" w:ascii="宋体" w:hAnsi="宋体" w:eastAsia="宋体"/>
          <w:color w:val="000000"/>
          <w:sz w:val="24"/>
          <w:szCs w:val="24"/>
          <w:highlight w:val="none"/>
          <w:lang w:val="en-US" w:eastAsia="zh-CN"/>
        </w:rPr>
        <w:t>知识、技能</w:t>
      </w:r>
      <w:r>
        <w:rPr>
          <w:rFonts w:ascii="宋体" w:hAnsi="宋体" w:eastAsia="宋体"/>
          <w:color w:val="000000"/>
          <w:sz w:val="24"/>
          <w:szCs w:val="24"/>
          <w:highlight w:val="none"/>
        </w:rPr>
        <w:t>目标的梳理进一步推进课堂序列化的有效实施，注重前移后续。在特色课程与国家课程校本化实施以及校本课程实施的整合融通方面有欠缺，还需进一步的梳理与融合。</w:t>
      </w:r>
    </w:p>
    <w:p>
      <w:pPr>
        <w:snapToGrid w:val="0"/>
        <w:spacing w:before="0" w:after="0" w:line="360" w:lineRule="auto"/>
        <w:ind w:firstLineChars="200"/>
        <w:jc w:val="both"/>
        <w:rPr>
          <w:rFonts w:ascii="宋体" w:hAnsi="宋体" w:eastAsia="宋体"/>
          <w:color w:val="000000"/>
          <w:sz w:val="24"/>
          <w:szCs w:val="24"/>
          <w:highlight w:val="none"/>
        </w:rPr>
      </w:pPr>
      <w:r>
        <w:rPr>
          <w:rFonts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eastAsia="zh-CN"/>
        </w:rPr>
        <w:t>3</w:t>
      </w:r>
      <w:r>
        <w:rPr>
          <w:rFonts w:ascii="宋体" w:hAnsi="宋体" w:eastAsia="宋体"/>
          <w:b/>
          <w:bCs/>
          <w:color w:val="000000"/>
          <w:sz w:val="24"/>
          <w:szCs w:val="24"/>
          <w:highlight w:val="none"/>
        </w:rPr>
        <w:t>）教科研能力：</w:t>
      </w:r>
      <w:r>
        <w:rPr>
          <w:rFonts w:hint="eastAsia" w:ascii="宋体" w:hAnsi="宋体" w:eastAsia="宋体"/>
          <w:color w:val="000000"/>
          <w:sz w:val="24"/>
          <w:szCs w:val="24"/>
          <w:highlight w:val="none"/>
          <w:lang w:val="en-US" w:eastAsia="zh-CN"/>
        </w:rPr>
        <w:t>须确定、聚焦</w:t>
      </w:r>
      <w:r>
        <w:rPr>
          <w:rFonts w:ascii="宋体" w:hAnsi="宋体" w:eastAsia="宋体"/>
          <w:color w:val="000000"/>
          <w:sz w:val="24"/>
          <w:szCs w:val="24"/>
          <w:highlight w:val="none"/>
        </w:rPr>
        <w:t>研究主题</w:t>
      </w:r>
      <w:r>
        <w:rPr>
          <w:rFonts w:hint="eastAsia" w:ascii="宋体" w:hAnsi="宋体" w:eastAsia="宋体"/>
          <w:color w:val="000000"/>
          <w:sz w:val="24"/>
          <w:szCs w:val="24"/>
          <w:highlight w:val="none"/>
          <w:lang w:eastAsia="zh-CN"/>
        </w:rPr>
        <w:t>，</w:t>
      </w:r>
      <w:r>
        <w:rPr>
          <w:rFonts w:hint="eastAsia" w:ascii="宋体" w:hAnsi="宋体" w:eastAsia="宋体"/>
          <w:color w:val="000000"/>
          <w:sz w:val="24"/>
          <w:szCs w:val="24"/>
          <w:highlight w:val="none"/>
          <w:lang w:val="en-US" w:eastAsia="zh-CN"/>
        </w:rPr>
        <w:t>力争将课题做的有深度、有效度，积极撰写、发表论文。</w:t>
      </w:r>
    </w:p>
    <w:p>
      <w:pPr>
        <w:snapToGrid w:val="0"/>
        <w:spacing w:before="0" w:after="0" w:line="360" w:lineRule="auto"/>
        <w:ind w:firstLineChars="200"/>
        <w:jc w:val="both"/>
        <w:rPr>
          <w:rFonts w:ascii="宋体" w:hAnsi="宋体" w:eastAsia="宋体"/>
          <w:color w:val="000000"/>
          <w:sz w:val="24"/>
          <w:szCs w:val="24"/>
          <w:highlight w:val="none"/>
        </w:rPr>
      </w:pPr>
      <w:r>
        <w:rPr>
          <w:rFonts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eastAsia="zh-CN"/>
        </w:rPr>
        <w:t>4</w:t>
      </w:r>
      <w:r>
        <w:rPr>
          <w:rFonts w:ascii="宋体" w:hAnsi="宋体" w:eastAsia="宋体"/>
          <w:b/>
          <w:bCs/>
          <w:color w:val="000000"/>
          <w:sz w:val="24"/>
          <w:szCs w:val="24"/>
          <w:highlight w:val="none"/>
        </w:rPr>
        <w:t>）教师发展：</w:t>
      </w:r>
      <w:r>
        <w:rPr>
          <w:rFonts w:ascii="宋体" w:hAnsi="宋体" w:eastAsia="宋体"/>
          <w:color w:val="000000"/>
          <w:sz w:val="24"/>
          <w:szCs w:val="24"/>
          <w:highlight w:val="none"/>
        </w:rPr>
        <w:t>青年教师的发展需做好前期规划，</w:t>
      </w:r>
      <w:r>
        <w:rPr>
          <w:rFonts w:hint="eastAsia" w:ascii="宋体" w:hAnsi="宋体" w:eastAsia="宋体"/>
          <w:color w:val="000000"/>
          <w:sz w:val="24"/>
          <w:szCs w:val="24"/>
          <w:highlight w:val="none"/>
          <w:lang w:val="en-US" w:eastAsia="zh-CN"/>
        </w:rPr>
        <w:t>认真对照五级梯队的评选条件</w:t>
      </w:r>
      <w:r>
        <w:rPr>
          <w:rFonts w:ascii="宋体" w:hAnsi="宋体" w:eastAsia="宋体"/>
          <w:color w:val="000000"/>
          <w:sz w:val="24"/>
          <w:szCs w:val="24"/>
          <w:highlight w:val="none"/>
        </w:rPr>
        <w:t>对教师专业技能、教科研水平</w:t>
      </w:r>
      <w:r>
        <w:rPr>
          <w:rFonts w:hint="eastAsia" w:ascii="宋体" w:hAnsi="宋体" w:eastAsia="宋体"/>
          <w:color w:val="000000"/>
          <w:sz w:val="24"/>
          <w:szCs w:val="24"/>
          <w:highlight w:val="none"/>
          <w:lang w:val="en-US" w:eastAsia="zh-CN"/>
        </w:rPr>
        <w:t>进行</w:t>
      </w:r>
      <w:r>
        <w:rPr>
          <w:rFonts w:ascii="宋体" w:hAnsi="宋体" w:eastAsia="宋体"/>
          <w:color w:val="000000"/>
          <w:sz w:val="24"/>
          <w:szCs w:val="24"/>
          <w:highlight w:val="none"/>
        </w:rPr>
        <w:t>有规划的培养</w:t>
      </w:r>
      <w:r>
        <w:rPr>
          <w:rFonts w:hint="eastAsia" w:ascii="宋体" w:hAnsi="宋体" w:eastAsia="宋体"/>
          <w:color w:val="000000"/>
          <w:sz w:val="24"/>
          <w:szCs w:val="24"/>
          <w:highlight w:val="none"/>
          <w:lang w:eastAsia="zh-CN"/>
        </w:rPr>
        <w:t>，</w:t>
      </w:r>
      <w:r>
        <w:rPr>
          <w:rFonts w:hint="eastAsia" w:ascii="宋体" w:hAnsi="宋体" w:eastAsia="宋体"/>
          <w:color w:val="000000"/>
          <w:sz w:val="24"/>
          <w:szCs w:val="24"/>
          <w:highlight w:val="none"/>
          <w:lang w:val="en-US" w:eastAsia="zh-CN"/>
        </w:rPr>
        <w:t>重点</w:t>
      </w:r>
      <w:r>
        <w:rPr>
          <w:rFonts w:ascii="宋体" w:hAnsi="宋体" w:eastAsia="宋体"/>
          <w:color w:val="000000"/>
          <w:sz w:val="24"/>
          <w:szCs w:val="24"/>
          <w:highlight w:val="none"/>
        </w:rPr>
        <w:t>打造与培养中坚力量</w:t>
      </w:r>
      <w:r>
        <w:rPr>
          <w:rFonts w:hint="eastAsia" w:ascii="宋体" w:hAnsi="宋体" w:eastAsia="宋体"/>
          <w:color w:val="000000"/>
          <w:sz w:val="24"/>
          <w:szCs w:val="24"/>
          <w:highlight w:val="none"/>
          <w:lang w:val="en-US" w:eastAsia="zh-CN"/>
        </w:rPr>
        <w:t>徐铭雪老师</w:t>
      </w:r>
      <w:r>
        <w:rPr>
          <w:rFonts w:ascii="宋体" w:hAnsi="宋体" w:eastAsia="宋体"/>
          <w:color w:val="000000"/>
          <w:sz w:val="24"/>
          <w:szCs w:val="24"/>
          <w:highlight w:val="none"/>
        </w:rPr>
        <w:t>，为高层次人才做好铺垫。</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color w:val="000000"/>
          <w:sz w:val="24"/>
          <w:szCs w:val="24"/>
          <w:highlight w:val="none"/>
        </w:rPr>
      </w:pPr>
      <w:r>
        <w:rPr>
          <w:rFonts w:ascii="宋体" w:hAnsi="宋体" w:eastAsia="宋体"/>
          <w:b/>
          <w:bCs/>
          <w:color w:val="000000"/>
          <w:sz w:val="24"/>
          <w:szCs w:val="24"/>
          <w:highlight w:val="none"/>
        </w:rPr>
        <w:t>二、发展目标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eastAsia="zh-CN"/>
        </w:rPr>
        <w:t>1</w:t>
      </w:r>
      <w:r>
        <w:rPr>
          <w:rFonts w:ascii="宋体" w:hAnsi="宋体" w:eastAsia="宋体"/>
          <w:color w:val="000000"/>
          <w:sz w:val="24"/>
          <w:szCs w:val="24"/>
          <w:highlight w:val="none"/>
        </w:rPr>
        <w:t>、</w:t>
      </w:r>
      <w:r>
        <w:rPr>
          <w:rFonts w:hint="eastAsia" w:eastAsia="宋体"/>
          <w:sz w:val="24"/>
          <w:szCs w:val="24"/>
          <w:highlight w:val="none"/>
          <w:lang w:val="en-US" w:eastAsia="zh-CN"/>
        </w:rPr>
        <w:t>以</w:t>
      </w:r>
      <w:r>
        <w:rPr>
          <w:rFonts w:hint="eastAsia"/>
          <w:sz w:val="24"/>
          <w:szCs w:val="24"/>
          <w:highlight w:val="none"/>
          <w:lang w:val="en-US" w:eastAsia="zh-CN"/>
        </w:rPr>
        <w:t>月</w:t>
      </w:r>
      <w:r>
        <w:rPr>
          <w:rFonts w:hint="eastAsia"/>
          <w:sz w:val="24"/>
          <w:szCs w:val="24"/>
          <w:highlight w:val="none"/>
        </w:rPr>
        <w:t>调研</w:t>
      </w:r>
      <w:r>
        <w:rPr>
          <w:rFonts w:hint="eastAsia"/>
          <w:sz w:val="24"/>
          <w:szCs w:val="24"/>
          <w:highlight w:val="none"/>
          <w:lang w:val="en-US" w:eastAsia="zh-CN"/>
        </w:rPr>
        <w:t>为突破口</w:t>
      </w:r>
      <w:r>
        <w:rPr>
          <w:rFonts w:hint="eastAsia"/>
          <w:sz w:val="24"/>
          <w:szCs w:val="24"/>
          <w:highlight w:val="none"/>
        </w:rPr>
        <w:t>，推进各项制度，规范</w:t>
      </w:r>
      <w:r>
        <w:rPr>
          <w:rFonts w:hint="eastAsia"/>
          <w:sz w:val="24"/>
          <w:szCs w:val="24"/>
          <w:highlight w:val="none"/>
          <w:lang w:val="en-US" w:eastAsia="zh-CN"/>
        </w:rPr>
        <w:t>学科</w:t>
      </w:r>
      <w:r>
        <w:rPr>
          <w:rFonts w:hint="eastAsia"/>
          <w:sz w:val="24"/>
          <w:szCs w:val="24"/>
          <w:highlight w:val="none"/>
        </w:rPr>
        <w:t>教育教学常规。</w:t>
      </w:r>
    </w:p>
    <w:p>
      <w:pPr>
        <w:snapToGrid w:val="0"/>
        <w:spacing w:before="0" w:after="0" w:line="360" w:lineRule="auto"/>
        <w:ind w:firstLineChars="200"/>
        <w:jc w:val="both"/>
        <w:rPr>
          <w:rFonts w:hint="eastAsia"/>
          <w:sz w:val="24"/>
          <w:szCs w:val="24"/>
          <w:highlight w:val="none"/>
        </w:rPr>
      </w:pPr>
      <w:r>
        <w:rPr>
          <w:rFonts w:hint="eastAsia" w:ascii="宋体" w:hAnsi="宋体" w:eastAsia="宋体"/>
          <w:color w:val="000000"/>
          <w:sz w:val="24"/>
          <w:szCs w:val="24"/>
          <w:highlight w:val="none"/>
          <w:lang w:val="en-US" w:eastAsia="zh-CN"/>
        </w:rPr>
        <w:t>2</w:t>
      </w:r>
      <w:r>
        <w:rPr>
          <w:rFonts w:ascii="宋体" w:hAnsi="宋体" w:eastAsia="宋体"/>
          <w:color w:val="000000"/>
          <w:sz w:val="24"/>
          <w:szCs w:val="24"/>
          <w:highlight w:val="none"/>
        </w:rPr>
        <w:t>、以培养</w:t>
      </w:r>
      <w:r>
        <w:rPr>
          <w:rFonts w:hint="eastAsia" w:ascii="宋体" w:hAnsi="宋体" w:eastAsia="宋体"/>
          <w:color w:val="000000"/>
          <w:sz w:val="24"/>
          <w:szCs w:val="24"/>
          <w:highlight w:val="none"/>
          <w:lang w:val="en-US" w:eastAsia="zh-CN"/>
        </w:rPr>
        <w:t>学生学科素养</w:t>
      </w:r>
      <w:r>
        <w:rPr>
          <w:rFonts w:ascii="宋体" w:hAnsi="宋体" w:eastAsia="宋体"/>
          <w:color w:val="000000"/>
          <w:sz w:val="24"/>
          <w:szCs w:val="24"/>
          <w:highlight w:val="none"/>
        </w:rPr>
        <w:t>为目标，以学科</w:t>
      </w:r>
      <w:r>
        <w:rPr>
          <w:rFonts w:hint="eastAsia" w:ascii="宋体" w:hAnsi="宋体" w:eastAsia="宋体"/>
          <w:color w:val="000000"/>
          <w:sz w:val="24"/>
          <w:szCs w:val="24"/>
          <w:highlight w:val="none"/>
          <w:lang w:val="en-US" w:eastAsia="zh-CN"/>
        </w:rPr>
        <w:t>知识、技能</w:t>
      </w:r>
      <w:r>
        <w:rPr>
          <w:rFonts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专项特长为落脚点，以课程、</w:t>
      </w:r>
      <w:r>
        <w:rPr>
          <w:rFonts w:ascii="宋体" w:hAnsi="宋体" w:eastAsia="宋体"/>
          <w:color w:val="000000"/>
          <w:sz w:val="24"/>
          <w:szCs w:val="24"/>
          <w:highlight w:val="none"/>
        </w:rPr>
        <w:t>竞赛、活动为突破口，</w:t>
      </w:r>
      <w:r>
        <w:rPr>
          <w:rFonts w:hint="eastAsia"/>
          <w:sz w:val="24"/>
          <w:szCs w:val="24"/>
          <w:highlight w:val="none"/>
        </w:rPr>
        <w:t>改进质量评价，提升学生</w:t>
      </w:r>
      <w:r>
        <w:rPr>
          <w:rFonts w:hint="eastAsia"/>
          <w:sz w:val="24"/>
          <w:szCs w:val="24"/>
          <w:highlight w:val="none"/>
          <w:lang w:val="en-US" w:eastAsia="zh-CN"/>
        </w:rPr>
        <w:t>发展</w:t>
      </w:r>
      <w:r>
        <w:rPr>
          <w:rFonts w:hint="eastAsia"/>
          <w:sz w:val="24"/>
          <w:szCs w:val="24"/>
          <w:highlight w:val="none"/>
        </w:rPr>
        <w:t>。</w:t>
      </w:r>
    </w:p>
    <w:p>
      <w:pPr>
        <w:snapToGrid w:val="0"/>
        <w:spacing w:before="0" w:after="0" w:line="360" w:lineRule="auto"/>
        <w:ind w:firstLineChars="200"/>
        <w:jc w:val="both"/>
        <w:rPr>
          <w:rFonts w:hint="eastAsia" w:eastAsiaTheme="minorEastAsia"/>
          <w:sz w:val="24"/>
          <w:szCs w:val="24"/>
          <w:highlight w:val="none"/>
          <w:lang w:val="en-US" w:eastAsia="zh-CN"/>
        </w:rPr>
      </w:pPr>
      <w:r>
        <w:rPr>
          <w:rFonts w:hint="eastAsia" w:ascii="宋体" w:hAnsi="宋体" w:eastAsia="宋体"/>
          <w:color w:val="000000"/>
          <w:sz w:val="24"/>
          <w:szCs w:val="24"/>
          <w:highlight w:val="none"/>
          <w:lang w:val="en-US" w:eastAsia="zh-CN"/>
        </w:rPr>
        <w:t>3</w:t>
      </w:r>
      <w:r>
        <w:rPr>
          <w:rFonts w:ascii="宋体" w:hAnsi="宋体" w:eastAsia="宋体"/>
          <w:color w:val="000000"/>
          <w:sz w:val="24"/>
          <w:szCs w:val="24"/>
          <w:highlight w:val="none"/>
        </w:rPr>
        <w:t>、以</w:t>
      </w:r>
      <w:r>
        <w:rPr>
          <w:rFonts w:hint="eastAsia" w:ascii="宋体" w:hAnsi="宋体" w:eastAsia="宋体"/>
          <w:color w:val="000000"/>
          <w:sz w:val="24"/>
          <w:szCs w:val="24"/>
          <w:highlight w:val="none"/>
          <w:lang w:val="en-US" w:eastAsia="zh-CN"/>
        </w:rPr>
        <w:t>课程实施为抓</w:t>
      </w:r>
      <w:r>
        <w:rPr>
          <w:rFonts w:hint="eastAsia"/>
          <w:sz w:val="24"/>
          <w:szCs w:val="24"/>
          <w:highlight w:val="none"/>
          <w:lang w:val="en-US" w:eastAsia="zh-CN"/>
        </w:rPr>
        <w:t>手，优化教研活动内容，</w:t>
      </w:r>
      <w:r>
        <w:rPr>
          <w:rFonts w:hint="eastAsia"/>
          <w:sz w:val="24"/>
          <w:szCs w:val="24"/>
          <w:highlight w:val="none"/>
        </w:rPr>
        <w:t>深化课堂转型</w:t>
      </w:r>
      <w:r>
        <w:rPr>
          <w:rFonts w:hint="eastAsia"/>
          <w:sz w:val="24"/>
          <w:szCs w:val="24"/>
          <w:highlight w:val="none"/>
          <w:lang w:eastAsia="zh-CN"/>
        </w:rPr>
        <w:t>。</w:t>
      </w:r>
    </w:p>
    <w:p>
      <w:pPr>
        <w:snapToGrid w:val="0"/>
        <w:spacing w:before="0" w:after="0" w:line="360" w:lineRule="auto"/>
        <w:ind w:firstLineChars="200"/>
        <w:jc w:val="both"/>
        <w:rPr>
          <w:rFonts w:hint="eastAsia" w:ascii="宋体" w:hAnsi="宋体" w:eastAsia="宋体"/>
          <w:color w:val="000000"/>
          <w:sz w:val="24"/>
          <w:szCs w:val="24"/>
          <w:highlight w:val="none"/>
          <w:lang w:eastAsia="zh-CN"/>
        </w:rPr>
      </w:pPr>
      <w:r>
        <w:rPr>
          <w:rFonts w:hint="eastAsia" w:ascii="宋体" w:hAnsi="宋体" w:eastAsia="宋体"/>
          <w:color w:val="000000"/>
          <w:sz w:val="24"/>
          <w:szCs w:val="24"/>
          <w:highlight w:val="none"/>
          <w:lang w:val="en-US" w:eastAsia="zh-CN"/>
        </w:rPr>
        <w:t>4</w:t>
      </w:r>
      <w:r>
        <w:rPr>
          <w:rFonts w:ascii="宋体" w:hAnsi="宋体" w:eastAsia="宋体"/>
          <w:color w:val="000000"/>
          <w:sz w:val="24"/>
          <w:szCs w:val="24"/>
          <w:highlight w:val="none"/>
        </w:rPr>
        <w:t>、以学科组为单位，提升教师专业成长。以各展示、竞赛平台，激发教研组抱团发展意识，激活教师发展内驱力，转变为以人的成长</w:t>
      </w:r>
      <w:r>
        <w:rPr>
          <w:rFonts w:hint="eastAsia" w:ascii="宋体" w:hAnsi="宋体" w:eastAsia="宋体"/>
          <w:color w:val="000000"/>
          <w:sz w:val="24"/>
          <w:szCs w:val="24"/>
          <w:highlight w:val="none"/>
          <w:lang w:eastAsia="zh-CN"/>
        </w:rPr>
        <w:t>。</w:t>
      </w:r>
    </w:p>
    <w:p>
      <w:pPr>
        <w:snapToGrid w:val="0"/>
        <w:spacing w:before="0" w:after="0" w:line="360" w:lineRule="auto"/>
        <w:jc w:val="both"/>
        <w:rPr>
          <w:b/>
          <w:bCs/>
          <w:sz w:val="24"/>
          <w:szCs w:val="24"/>
          <w:highlight w:val="none"/>
        </w:rPr>
      </w:pPr>
      <w:r>
        <w:rPr>
          <w:rFonts w:ascii="宋体" w:hAnsi="宋体" w:eastAsia="宋体"/>
          <w:b/>
          <w:bCs/>
          <w:color w:val="000000"/>
          <w:sz w:val="24"/>
          <w:szCs w:val="24"/>
          <w:highlight w:val="none"/>
        </w:rPr>
        <w:t>三、节</w:t>
      </w:r>
      <w:r>
        <w:rPr>
          <w:rFonts w:hint="eastAsia"/>
          <w:b/>
          <w:bCs/>
          <w:sz w:val="24"/>
          <w:szCs w:val="24"/>
          <w:highlight w:val="none"/>
        </w:rPr>
        <w:t>具体措施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rPr>
        <w:t>（一）立足常规调研，规范</w:t>
      </w:r>
      <w:r>
        <w:rPr>
          <w:rFonts w:hint="eastAsia"/>
          <w:sz w:val="24"/>
          <w:szCs w:val="24"/>
          <w:highlight w:val="none"/>
          <w:lang w:eastAsia="zh-CN"/>
        </w:rPr>
        <w:t>综合</w:t>
      </w:r>
      <w:r>
        <w:rPr>
          <w:rFonts w:hint="eastAsia"/>
          <w:sz w:val="24"/>
          <w:szCs w:val="24"/>
          <w:highlight w:val="none"/>
        </w:rPr>
        <w:t>教学常规</w:t>
      </w:r>
      <w:r>
        <w:rPr>
          <w:rFonts w:hint="eastAsia"/>
          <w:sz w:val="24"/>
          <w:szCs w:val="24"/>
          <w:highlight w:val="none"/>
          <w:lang w:eastAsia="zh-CN"/>
        </w:rPr>
        <w:t>，</w:t>
      </w:r>
      <w:r>
        <w:rPr>
          <w:rFonts w:hint="eastAsia"/>
          <w:sz w:val="24"/>
          <w:szCs w:val="24"/>
          <w:highlight w:val="none"/>
          <w:lang w:val="en-US" w:eastAsia="zh-CN"/>
        </w:rPr>
        <w:t>以规范促师生素养。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1.明确常规，推进制度，形成教育教学常规。</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highlight w:val="none"/>
          <w:lang w:eastAsia="zh-CN"/>
        </w:rPr>
      </w:pPr>
      <w:r>
        <w:rPr>
          <w:rFonts w:hint="eastAsia"/>
          <w:sz w:val="24"/>
          <w:szCs w:val="24"/>
          <w:highlight w:val="none"/>
        </w:rPr>
        <w:t>（1）备课制度、上课制度、听课制度、日常调研制度。确定二次备课的具体要求，要求人人做到二次备课，进行教学反思和教学经验提炼；制定</w:t>
      </w:r>
      <w:r>
        <w:rPr>
          <w:rFonts w:hint="eastAsia"/>
          <w:sz w:val="24"/>
          <w:szCs w:val="24"/>
          <w:highlight w:val="none"/>
          <w:lang w:val="en-US" w:eastAsia="zh-CN"/>
        </w:rPr>
        <w:t>教研</w:t>
      </w:r>
      <w:r>
        <w:rPr>
          <w:rFonts w:hint="eastAsia"/>
          <w:sz w:val="24"/>
          <w:szCs w:val="24"/>
          <w:highlight w:val="none"/>
        </w:rPr>
        <w:t>组</w:t>
      </w:r>
      <w:r>
        <w:rPr>
          <w:rFonts w:hint="eastAsia"/>
          <w:sz w:val="24"/>
          <w:szCs w:val="24"/>
          <w:highlight w:val="none"/>
          <w:lang w:val="en-US" w:eastAsia="zh-CN"/>
        </w:rPr>
        <w:t>研究</w:t>
      </w:r>
      <w:r>
        <w:rPr>
          <w:rFonts w:hint="eastAsia"/>
          <w:sz w:val="24"/>
          <w:szCs w:val="24"/>
          <w:highlight w:val="none"/>
        </w:rPr>
        <w:t>课执教表</w:t>
      </w:r>
      <w:r>
        <w:rPr>
          <w:rFonts w:hint="eastAsia"/>
          <w:sz w:val="24"/>
          <w:szCs w:val="24"/>
          <w:highlight w:val="none"/>
          <w:lang w:eastAsia="zh-CN"/>
        </w:rPr>
        <w:t>。（</w:t>
      </w:r>
      <w:r>
        <w:rPr>
          <w:rFonts w:hint="eastAsia"/>
          <w:sz w:val="24"/>
          <w:szCs w:val="24"/>
          <w:highlight w:val="none"/>
          <w:lang w:val="en-US" w:eastAsia="zh-CN"/>
        </w:rPr>
        <w:t>3月段菲；4月武亚敏；5月徐铭雪；6月陈静娴 尚笛</w:t>
      </w:r>
      <w:r>
        <w:rPr>
          <w:rFonts w:hint="eastAsia"/>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Theme="minorEastAsia"/>
          <w:sz w:val="24"/>
          <w:szCs w:val="24"/>
          <w:highlight w:val="none"/>
          <w:lang w:val="en-US" w:eastAsia="zh-CN"/>
        </w:rPr>
      </w:pPr>
      <w:r>
        <w:rPr>
          <w:rFonts w:hint="eastAsia"/>
          <w:sz w:val="24"/>
          <w:szCs w:val="24"/>
          <w:highlight w:val="none"/>
          <w:lang w:eastAsia="zh-CN"/>
        </w:rPr>
        <w:t>（</w:t>
      </w:r>
      <w:r>
        <w:rPr>
          <w:rFonts w:hint="eastAsia"/>
          <w:sz w:val="24"/>
          <w:szCs w:val="24"/>
          <w:highlight w:val="none"/>
          <w:lang w:val="en-US" w:eastAsia="zh-CN"/>
        </w:rPr>
        <w:t>2</w:t>
      </w:r>
      <w:r>
        <w:rPr>
          <w:rFonts w:hint="eastAsia"/>
          <w:sz w:val="24"/>
          <w:szCs w:val="24"/>
          <w:highlight w:val="none"/>
          <w:lang w:eastAsia="zh-CN"/>
        </w:rPr>
        <w:t>）</w:t>
      </w:r>
      <w:r>
        <w:rPr>
          <w:rFonts w:hint="eastAsia"/>
          <w:sz w:val="24"/>
          <w:szCs w:val="24"/>
          <w:highlight w:val="none"/>
        </w:rPr>
        <w:t>推进日常教学研究，按规定提前到岗，备课进班，落实学生</w:t>
      </w:r>
      <w:r>
        <w:rPr>
          <w:rFonts w:hint="eastAsia"/>
          <w:sz w:val="24"/>
          <w:szCs w:val="24"/>
          <w:highlight w:val="none"/>
          <w:lang w:val="en-US" w:eastAsia="zh-CN"/>
        </w:rPr>
        <w:t>路队、</w:t>
      </w:r>
      <w:r>
        <w:rPr>
          <w:rFonts w:hint="eastAsia"/>
          <w:sz w:val="24"/>
          <w:szCs w:val="24"/>
          <w:highlight w:val="none"/>
        </w:rPr>
        <w:t>听课常规，让每位学生在上课前和上课后的状态是不同的；</w:t>
      </w:r>
      <w:r>
        <w:rPr>
          <w:rFonts w:hint="eastAsia"/>
          <w:sz w:val="24"/>
          <w:szCs w:val="24"/>
          <w:highlight w:val="none"/>
          <w:lang w:val="en-US" w:eastAsia="zh-CN"/>
        </w:rPr>
        <w:t>新教师必须研一课上一课，3年内</w:t>
      </w:r>
      <w:r>
        <w:rPr>
          <w:rFonts w:hint="eastAsia"/>
          <w:sz w:val="24"/>
          <w:szCs w:val="24"/>
          <w:highlight w:val="none"/>
        </w:rPr>
        <w:t>每位教师每</w:t>
      </w:r>
      <w:r>
        <w:rPr>
          <w:rFonts w:hint="eastAsia"/>
          <w:sz w:val="24"/>
          <w:szCs w:val="24"/>
          <w:highlight w:val="none"/>
          <w:lang w:val="en-US" w:eastAsia="zh-CN"/>
        </w:rPr>
        <w:t>周</w:t>
      </w:r>
      <w:r>
        <w:rPr>
          <w:rFonts w:hint="eastAsia"/>
          <w:sz w:val="24"/>
          <w:szCs w:val="24"/>
          <w:highlight w:val="none"/>
        </w:rPr>
        <w:t>听课需达2次</w:t>
      </w:r>
      <w:r>
        <w:rPr>
          <w:rFonts w:hint="eastAsia"/>
          <w:sz w:val="24"/>
          <w:szCs w:val="24"/>
          <w:highlight w:val="none"/>
          <w:lang w:eastAsia="zh-CN"/>
        </w:rPr>
        <w:t>，</w:t>
      </w:r>
      <w:r>
        <w:rPr>
          <w:rFonts w:hint="eastAsia"/>
          <w:sz w:val="24"/>
          <w:szCs w:val="24"/>
          <w:highlight w:val="none"/>
        </w:rPr>
        <w:t>并根据听课内容产生课后评价</w:t>
      </w:r>
      <w:r>
        <w:rPr>
          <w:rFonts w:hint="eastAsia"/>
          <w:sz w:val="24"/>
          <w:szCs w:val="24"/>
          <w:highlight w:val="none"/>
          <w:lang w:eastAsia="zh-CN"/>
        </w:rPr>
        <w:t>。</w:t>
      </w:r>
      <w:r>
        <w:rPr>
          <w:rFonts w:hint="eastAsia"/>
          <w:sz w:val="24"/>
          <w:szCs w:val="24"/>
          <w:highlight w:val="none"/>
          <w:lang w:val="en-US" w:eastAsia="zh-CN"/>
        </w:rPr>
        <w:t>每月</w:t>
      </w:r>
      <w:r>
        <w:rPr>
          <w:rFonts w:hint="eastAsia"/>
          <w:sz w:val="24"/>
          <w:szCs w:val="24"/>
          <w:highlight w:val="none"/>
        </w:rPr>
        <w:t>均要形成实事求是的反馈，放大优秀做法和经验。</w:t>
      </w:r>
      <w:r>
        <w:rPr>
          <w:rFonts w:hint="eastAsia"/>
          <w:sz w:val="24"/>
          <w:szCs w:val="24"/>
          <w:highlight w:val="none"/>
          <w:lang w:val="en-US" w:eastAsia="zh-CN"/>
        </w:rPr>
        <w:t>与月调研相结合，形成调研机制。40周岁以下老师必须每学期都撰写篇论文。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w:t>
      </w:r>
      <w:r>
        <w:rPr>
          <w:rFonts w:hint="eastAsia"/>
          <w:sz w:val="24"/>
          <w:szCs w:val="24"/>
          <w:highlight w:val="none"/>
          <w:lang w:val="en-US" w:eastAsia="zh-CN"/>
        </w:rPr>
        <w:t>3</w:t>
      </w:r>
      <w:r>
        <w:rPr>
          <w:rFonts w:hint="eastAsia"/>
          <w:sz w:val="24"/>
          <w:szCs w:val="24"/>
          <w:highlight w:val="none"/>
        </w:rPr>
        <w:t>）</w:t>
      </w:r>
      <w:r>
        <w:rPr>
          <w:rFonts w:hint="eastAsia"/>
          <w:sz w:val="24"/>
          <w:szCs w:val="24"/>
          <w:highlight w:val="none"/>
          <w:lang w:val="en-US" w:eastAsia="zh-CN"/>
        </w:rPr>
        <w:t>教研</w:t>
      </w:r>
      <w:r>
        <w:rPr>
          <w:rFonts w:hint="eastAsia"/>
          <w:sz w:val="24"/>
          <w:szCs w:val="24"/>
          <w:highlight w:val="none"/>
        </w:rPr>
        <w:t>组</w:t>
      </w:r>
      <w:r>
        <w:rPr>
          <w:rFonts w:hint="eastAsia"/>
          <w:sz w:val="24"/>
          <w:szCs w:val="24"/>
          <w:highlight w:val="none"/>
          <w:lang w:val="en-US" w:eastAsia="zh-CN"/>
        </w:rPr>
        <w:t>实行项目化</w:t>
      </w:r>
      <w:r>
        <w:rPr>
          <w:rFonts w:hint="eastAsia"/>
          <w:sz w:val="24"/>
          <w:szCs w:val="24"/>
          <w:highlight w:val="none"/>
        </w:rPr>
        <w:t>分工协作</w:t>
      </w:r>
      <w:r>
        <w:rPr>
          <w:rFonts w:hint="eastAsia"/>
          <w:sz w:val="24"/>
          <w:szCs w:val="24"/>
          <w:highlight w:val="none"/>
          <w:lang w:val="en-US" w:eastAsia="zh-CN"/>
        </w:rPr>
        <w:t>制</w:t>
      </w:r>
      <w:r>
        <w:rPr>
          <w:rFonts w:hint="eastAsia"/>
          <w:sz w:val="24"/>
          <w:szCs w:val="24"/>
          <w:highlight w:val="none"/>
        </w:rPr>
        <w:t>。</w:t>
      </w:r>
      <w:r>
        <w:rPr>
          <w:rFonts w:hint="eastAsia"/>
          <w:sz w:val="24"/>
          <w:szCs w:val="24"/>
          <w:highlight w:val="none"/>
          <w:lang w:val="en-US" w:eastAsia="zh-CN"/>
        </w:rPr>
        <w:t>由教研组长</w:t>
      </w:r>
      <w:r>
        <w:rPr>
          <w:rFonts w:hint="eastAsia"/>
          <w:sz w:val="24"/>
          <w:szCs w:val="24"/>
          <w:highlight w:val="none"/>
        </w:rPr>
        <w:t>统筹，制定学期计划，根据工作进行分工，抱团发展，形成“人人</w:t>
      </w:r>
      <w:r>
        <w:rPr>
          <w:rFonts w:hint="eastAsia"/>
          <w:sz w:val="24"/>
          <w:szCs w:val="24"/>
          <w:highlight w:val="none"/>
          <w:lang w:val="en-US" w:eastAsia="zh-CN"/>
        </w:rPr>
        <w:t>参与</w:t>
      </w:r>
      <w:r>
        <w:rPr>
          <w:rFonts w:hint="eastAsia"/>
          <w:sz w:val="24"/>
          <w:szCs w:val="24"/>
          <w:highlight w:val="none"/>
        </w:rPr>
        <w:t>”“人人合作”的</w:t>
      </w:r>
      <w:r>
        <w:rPr>
          <w:rFonts w:hint="eastAsia"/>
          <w:sz w:val="24"/>
          <w:szCs w:val="24"/>
          <w:highlight w:val="none"/>
          <w:lang w:val="en-US" w:eastAsia="zh-CN"/>
        </w:rPr>
        <w:t>教研</w:t>
      </w:r>
      <w:r>
        <w:rPr>
          <w:rFonts w:hint="eastAsia"/>
          <w:sz w:val="24"/>
          <w:szCs w:val="24"/>
          <w:highlight w:val="none"/>
        </w:rPr>
        <w:t>组分工协作文化。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附：项目组表格</w:t>
      </w:r>
    </w:p>
    <w:tbl>
      <w:tblPr>
        <w:tblStyle w:val="4"/>
        <w:tblW w:w="9600" w:type="dxa"/>
        <w:tblCellSpacing w:w="0" w:type="dxa"/>
        <w:tblInd w:w="15" w:type="dxa"/>
        <w:shd w:val="clear" w:color="auto" w:fill="auto"/>
        <w:tblLayout w:type="autofit"/>
        <w:tblCellMar>
          <w:top w:w="0" w:type="dxa"/>
          <w:left w:w="0" w:type="dxa"/>
          <w:bottom w:w="0" w:type="dxa"/>
          <w:right w:w="0" w:type="dxa"/>
        </w:tblCellMar>
      </w:tblPr>
      <w:tblGrid>
        <w:gridCol w:w="863"/>
        <w:gridCol w:w="1366"/>
        <w:gridCol w:w="1466"/>
        <w:gridCol w:w="1627"/>
        <w:gridCol w:w="1426"/>
        <w:gridCol w:w="1466"/>
        <w:gridCol w:w="1386"/>
      </w:tblGrid>
      <w:tr>
        <w:tblPrEx>
          <w:shd w:val="clear" w:color="auto" w:fill="auto"/>
          <w:tblCellMar>
            <w:top w:w="0" w:type="dxa"/>
            <w:left w:w="0" w:type="dxa"/>
            <w:bottom w:w="0" w:type="dxa"/>
            <w:right w:w="0" w:type="dxa"/>
          </w:tblCellMar>
        </w:tblPrEx>
        <w:trPr>
          <w:trHeight w:val="660" w:hRule="atLeast"/>
          <w:tblCellSpacing w:w="0" w:type="dxa"/>
        </w:trPr>
        <w:tc>
          <w:tcPr>
            <w:tcW w:w="86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ascii="仿宋" w:hAnsi="仿宋" w:eastAsia="仿宋" w:cs="仿宋"/>
                <w:color w:val="000000"/>
                <w:sz w:val="28"/>
                <w:szCs w:val="28"/>
              </w:rPr>
              <w:t> </w:t>
            </w:r>
          </w:p>
        </w:tc>
        <w:tc>
          <w:tcPr>
            <w:tcW w:w="136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hint="eastAsia" w:ascii="仿宋" w:hAnsi="仿宋" w:eastAsia="仿宋" w:cs="仿宋"/>
                <w:color w:val="000000"/>
                <w:sz w:val="28"/>
                <w:szCs w:val="28"/>
              </w:rPr>
              <w:t>常规落实</w:t>
            </w:r>
          </w:p>
        </w:tc>
        <w:tc>
          <w:tcPr>
            <w:tcW w:w="146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hint="eastAsia" w:ascii="仿宋" w:hAnsi="仿宋" w:eastAsia="仿宋" w:cs="仿宋"/>
                <w:color w:val="000000"/>
                <w:sz w:val="28"/>
                <w:szCs w:val="28"/>
              </w:rPr>
              <w:t>质量监控</w:t>
            </w:r>
          </w:p>
        </w:tc>
        <w:tc>
          <w:tcPr>
            <w:tcW w:w="162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hint="eastAsia" w:ascii="仿宋" w:hAnsi="仿宋" w:eastAsia="仿宋" w:cs="仿宋"/>
                <w:color w:val="000000"/>
                <w:sz w:val="28"/>
                <w:szCs w:val="28"/>
              </w:rPr>
              <w:t>课题（课程）研究</w:t>
            </w:r>
          </w:p>
        </w:tc>
        <w:tc>
          <w:tcPr>
            <w:tcW w:w="142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hint="eastAsia" w:ascii="仿宋" w:hAnsi="仿宋" w:eastAsia="仿宋" w:cs="仿宋"/>
                <w:color w:val="000000"/>
                <w:sz w:val="28"/>
                <w:szCs w:val="28"/>
              </w:rPr>
              <w:t>资源收集</w:t>
            </w:r>
          </w:p>
        </w:tc>
        <w:tc>
          <w:tcPr>
            <w:tcW w:w="146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hint="eastAsia" w:ascii="仿宋" w:hAnsi="仿宋" w:eastAsia="仿宋" w:cs="仿宋"/>
                <w:color w:val="000000"/>
                <w:sz w:val="28"/>
                <w:szCs w:val="28"/>
              </w:rPr>
              <w:t>新闻</w:t>
            </w:r>
          </w:p>
        </w:tc>
        <w:tc>
          <w:tcPr>
            <w:tcW w:w="138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hint="eastAsia" w:ascii="仿宋" w:hAnsi="仿宋" w:eastAsia="仿宋" w:cs="仿宋"/>
                <w:color w:val="000000"/>
                <w:sz w:val="28"/>
                <w:szCs w:val="28"/>
              </w:rPr>
              <w:t>教师发展</w:t>
            </w:r>
          </w:p>
        </w:tc>
      </w:tr>
      <w:tr>
        <w:tblPrEx>
          <w:shd w:val="clear" w:color="auto" w:fill="auto"/>
          <w:tblCellMar>
            <w:top w:w="0" w:type="dxa"/>
            <w:left w:w="0" w:type="dxa"/>
            <w:bottom w:w="0" w:type="dxa"/>
            <w:right w:w="0" w:type="dxa"/>
          </w:tblCellMar>
        </w:tblPrEx>
        <w:trPr>
          <w:trHeight w:val="240" w:hRule="atLeast"/>
          <w:tblCellSpacing w:w="0" w:type="dxa"/>
        </w:trPr>
        <w:tc>
          <w:tcPr>
            <w:tcW w:w="86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hint="eastAsia" w:ascii="仿宋" w:hAnsi="仿宋" w:eastAsia="仿宋" w:cs="仿宋"/>
                <w:color w:val="000000"/>
                <w:sz w:val="28"/>
                <w:szCs w:val="28"/>
              </w:rPr>
              <w:t>科学</w:t>
            </w:r>
          </w:p>
        </w:tc>
        <w:tc>
          <w:tcPr>
            <w:tcW w:w="136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hint="eastAsia" w:ascii="仿宋" w:hAnsi="仿宋" w:eastAsia="仿宋" w:cs="仿宋"/>
                <w:color w:val="000000"/>
                <w:sz w:val="28"/>
                <w:szCs w:val="28"/>
              </w:rPr>
              <w:t>尚笛</w:t>
            </w:r>
          </w:p>
        </w:tc>
        <w:tc>
          <w:tcPr>
            <w:tcW w:w="146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hint="eastAsia" w:ascii="仿宋" w:hAnsi="仿宋" w:eastAsia="仿宋" w:cs="仿宋"/>
                <w:color w:val="000000"/>
                <w:sz w:val="28"/>
                <w:szCs w:val="28"/>
              </w:rPr>
              <w:t>陈静娴</w:t>
            </w:r>
          </w:p>
        </w:tc>
        <w:tc>
          <w:tcPr>
            <w:tcW w:w="162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rPr>
                <w:rFonts w:hint="eastAsia" w:eastAsiaTheme="minorEastAsia"/>
                <w:lang w:eastAsia="zh-CN"/>
              </w:rPr>
            </w:pPr>
            <w:r>
              <w:rPr>
                <w:rFonts w:hint="eastAsia" w:ascii="仿宋" w:hAnsi="仿宋" w:eastAsia="仿宋" w:cs="仿宋"/>
                <w:color w:val="000000"/>
                <w:sz w:val="28"/>
                <w:szCs w:val="28"/>
                <w:lang w:val="en-US" w:eastAsia="zh-CN"/>
              </w:rPr>
              <w:t>徐铭雪</w:t>
            </w:r>
          </w:p>
        </w:tc>
        <w:tc>
          <w:tcPr>
            <w:tcW w:w="142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hint="eastAsia" w:ascii="仿宋" w:hAnsi="仿宋" w:eastAsia="仿宋" w:cs="仿宋"/>
                <w:color w:val="000000"/>
                <w:sz w:val="28"/>
                <w:szCs w:val="28"/>
              </w:rPr>
              <w:t>段菲</w:t>
            </w:r>
          </w:p>
        </w:tc>
        <w:tc>
          <w:tcPr>
            <w:tcW w:w="146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rPr>
                <w:rFonts w:hint="eastAsia" w:eastAsiaTheme="minorEastAsia"/>
                <w:lang w:eastAsia="zh-CN"/>
              </w:rPr>
            </w:pPr>
            <w:r>
              <w:rPr>
                <w:rFonts w:hint="eastAsia" w:ascii="仿宋" w:hAnsi="仿宋" w:eastAsia="仿宋" w:cs="仿宋"/>
                <w:color w:val="000000"/>
                <w:sz w:val="28"/>
                <w:szCs w:val="28"/>
                <w:lang w:val="en-US" w:eastAsia="zh-CN"/>
              </w:rPr>
              <w:t>武亚敏</w:t>
            </w:r>
          </w:p>
        </w:tc>
        <w:tc>
          <w:tcPr>
            <w:tcW w:w="1380" w:type="dxa"/>
            <w:tcBorders>
              <w:top w:val="single" w:color="080000" w:sz="6" w:space="0"/>
              <w:left w:val="single" w:color="080000" w:sz="6" w:space="0"/>
              <w:bottom w:val="single" w:color="080000" w:sz="6" w:space="0"/>
              <w:right w:val="single" w:color="080000" w:sz="6" w:space="0"/>
            </w:tcBorders>
            <w:shd w:val="clear" w:color="auto" w:fill="auto"/>
            <w:tcMar>
              <w:left w:w="108" w:type="dxa"/>
              <w:right w:w="108" w:type="dxa"/>
            </w:tcMar>
            <w:vAlign w:val="center"/>
          </w:tcPr>
          <w:p>
            <w:pPr>
              <w:pStyle w:val="3"/>
              <w:keepNext w:val="0"/>
              <w:keepLines w:val="0"/>
              <w:widowControl/>
              <w:suppressLineNumbers w:val="0"/>
            </w:pPr>
            <w:r>
              <w:rPr>
                <w:rFonts w:hint="eastAsia" w:ascii="仿宋" w:hAnsi="仿宋" w:eastAsia="仿宋" w:cs="仿宋"/>
                <w:color w:val="000000"/>
                <w:sz w:val="28"/>
                <w:szCs w:val="28"/>
              </w:rPr>
              <w:t>徐铭雪</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2.建资源库，跟踪过程，形成评价闭环。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各教研组要中过程资料的收集，将精品课例、论文、读书笔记等相关资料形成精品资源库，期末形成论文集、精品案例集、读书笔记集等，反馈过程，形成评价闭环。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（二）立足课程实施，深化课堂转型，日常中落地学科素养。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highlight w:val="none"/>
          <w:lang w:val="en-US" w:eastAsia="zh-CN"/>
        </w:rPr>
      </w:pPr>
      <w:r>
        <w:rPr>
          <w:rFonts w:hint="eastAsia"/>
          <w:sz w:val="24"/>
          <w:szCs w:val="24"/>
          <w:highlight w:val="none"/>
          <w:lang w:val="en-US" w:eastAsia="zh-CN"/>
        </w:rPr>
        <w:t xml:space="preserve">     本学期，将依托课程实施，以 3+1学科教研模式为平台，</w:t>
      </w:r>
      <w:r>
        <w:rPr>
          <w:sz w:val="24"/>
          <w:szCs w:val="24"/>
          <w:highlight w:val="none"/>
        </w:rPr>
        <w:t xml:space="preserve"> </w:t>
      </w:r>
      <w:r>
        <w:rPr>
          <w:rFonts w:hint="eastAsia"/>
          <w:sz w:val="24"/>
          <w:szCs w:val="24"/>
          <w:highlight w:val="none"/>
        </w:rPr>
        <w:t>以专题研究和课堂转型双线并进</w:t>
      </w:r>
      <w:r>
        <w:rPr>
          <w:rFonts w:hint="eastAsia"/>
          <w:sz w:val="24"/>
          <w:szCs w:val="24"/>
          <w:highlight w:val="none"/>
          <w:lang w:eastAsia="zh-CN"/>
        </w:rPr>
        <w:t>，</w:t>
      </w:r>
      <w:r>
        <w:rPr>
          <w:rFonts w:hint="eastAsia"/>
          <w:sz w:val="24"/>
          <w:szCs w:val="24"/>
          <w:highlight w:val="none"/>
          <w:lang w:val="en-US" w:eastAsia="zh-CN"/>
        </w:rPr>
        <w:t>聚焦理论学习、研究主题、课堂实践，实现课堂转型。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1.以理论学习为引领，明晰课堂转型目标。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科学学科围绕研究主题阅读相关理论书籍以后，还需</w:t>
      </w:r>
      <w:r>
        <w:rPr>
          <w:rFonts w:hint="eastAsia"/>
          <w:sz w:val="24"/>
          <w:szCs w:val="24"/>
          <w:highlight w:val="none"/>
        </w:rPr>
        <w:t>学习“新基础教育”研究关于学科育人价值挖掘、学科教学等方面的理论研究，</w:t>
      </w:r>
      <w:r>
        <w:rPr>
          <w:rFonts w:hint="eastAsia"/>
          <w:sz w:val="24"/>
          <w:szCs w:val="24"/>
          <w:highlight w:val="none"/>
          <w:lang w:val="en-US" w:eastAsia="zh-CN"/>
        </w:rPr>
        <w:t>找准课堂转型关键词“重心下移”、“结构开放”等，进行学习、</w:t>
      </w:r>
      <w:r>
        <w:rPr>
          <w:rFonts w:hint="eastAsia"/>
          <w:sz w:val="24"/>
          <w:szCs w:val="24"/>
          <w:highlight w:val="none"/>
        </w:rPr>
        <w:t>进行解读、分享、交流。不断明晰课堂转型的目标和具体要求。</w:t>
      </w:r>
      <w:r>
        <w:rPr>
          <w:rFonts w:hint="eastAsia"/>
          <w:sz w:val="24"/>
          <w:szCs w:val="24"/>
          <w:highlight w:val="none"/>
          <w:lang w:val="en-US" w:eastAsia="zh-CN"/>
        </w:rPr>
        <w:t>同时继续内化我校弘雅课堂关键词：“向美”、“挑战”、“生长”，形成课堂教学模式，并逐步研制课堂关键词亚元素，形成具有弘雅课堂的学科教学特色。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highlight w:val="none"/>
          <w:lang w:val="en-US" w:eastAsia="zh-CN"/>
        </w:rPr>
      </w:pPr>
      <w:r>
        <w:rPr>
          <w:rFonts w:hint="eastAsia"/>
          <w:sz w:val="24"/>
          <w:szCs w:val="24"/>
          <w:highlight w:val="none"/>
          <w:lang w:val="en-US" w:eastAsia="zh-CN"/>
        </w:rPr>
        <w:t>2.以研究主题为抓手，促成课堂教学要求。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highlight w:val="none"/>
          <w:lang w:val="en-US" w:eastAsia="zh-CN"/>
        </w:rPr>
      </w:pPr>
      <w:r>
        <w:rPr>
          <w:rFonts w:hint="eastAsia"/>
          <w:sz w:val="24"/>
          <w:szCs w:val="24"/>
          <w:highlight w:val="none"/>
        </w:rPr>
        <w:t>专题研究以课题研究、项目组研究的主题为显性研究；以课堂转型的目标为隐性研究。教师执教研究课时，既是对其研究主题的教学策略的一种展示，也是深化转型课堂的一种体现。教研组确立深化课堂转型的研究内容序列，在教研活动中通过教师听课、专题分享及</w:t>
      </w:r>
      <w:r>
        <w:rPr>
          <w:rFonts w:hint="eastAsia"/>
          <w:sz w:val="24"/>
          <w:szCs w:val="24"/>
          <w:highlight w:val="none"/>
          <w:lang w:eastAsia="zh-CN"/>
        </w:rPr>
        <w:t>（</w:t>
      </w:r>
      <w:r>
        <w:rPr>
          <w:rFonts w:hint="eastAsia"/>
          <w:sz w:val="24"/>
          <w:szCs w:val="24"/>
          <w:highlight w:val="none"/>
          <w:lang w:val="en-US" w:eastAsia="zh-CN"/>
        </w:rPr>
        <w:t>在线</w:t>
      </w:r>
      <w:r>
        <w:rPr>
          <w:rFonts w:hint="eastAsia"/>
          <w:sz w:val="24"/>
          <w:szCs w:val="24"/>
          <w:highlight w:val="none"/>
          <w:lang w:eastAsia="zh-CN"/>
        </w:rPr>
        <w:t>）</w:t>
      </w:r>
      <w:r>
        <w:rPr>
          <w:rFonts w:hint="eastAsia"/>
          <w:sz w:val="24"/>
          <w:szCs w:val="24"/>
          <w:highlight w:val="none"/>
        </w:rPr>
        <w:t>评课议课的环节促成教师群体对课堂转型的课堂要求产生具体的理解。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sz w:val="24"/>
          <w:szCs w:val="24"/>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b/>
          <w:bCs/>
          <w:sz w:val="24"/>
          <w:szCs w:val="24"/>
          <w:highlight w:val="none"/>
        </w:rPr>
      </w:pPr>
      <w:r>
        <w:rPr>
          <w:rFonts w:hint="eastAsia"/>
          <w:b/>
          <w:bCs/>
          <w:sz w:val="24"/>
          <w:szCs w:val="24"/>
          <w:highlight w:val="none"/>
        </w:rPr>
        <w:t>加强梯队建设，</w:t>
      </w:r>
      <w:r>
        <w:rPr>
          <w:rFonts w:hint="eastAsia"/>
          <w:b/>
          <w:bCs/>
          <w:sz w:val="24"/>
          <w:szCs w:val="24"/>
          <w:highlight w:val="none"/>
          <w:lang w:val="en-US" w:eastAsia="zh-CN"/>
        </w:rPr>
        <w:t>梯队联动，</w:t>
      </w:r>
      <w:r>
        <w:rPr>
          <w:rFonts w:hint="eastAsia"/>
          <w:b/>
          <w:bCs/>
          <w:sz w:val="24"/>
          <w:szCs w:val="24"/>
          <w:highlight w:val="none"/>
        </w:rPr>
        <w:t>全面提高教师素养。</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以课堂转型为契机，提升观课、议课能力。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4"/>
          <w:szCs w:val="24"/>
          <w:highlight w:val="none"/>
          <w:lang w:val="en-US" w:eastAsia="zh-CN"/>
        </w:rPr>
      </w:pPr>
      <w:r>
        <w:rPr>
          <w:rFonts w:hint="eastAsia"/>
          <w:sz w:val="21"/>
          <w:szCs w:val="21"/>
          <w:highlight w:val="none"/>
          <w:lang w:eastAsia="zh-CN"/>
        </w:rPr>
        <w:t>（</w:t>
      </w:r>
      <w:r>
        <w:rPr>
          <w:rFonts w:hint="eastAsia"/>
          <w:sz w:val="21"/>
          <w:szCs w:val="21"/>
          <w:highlight w:val="none"/>
        </w:rPr>
        <w:t>以往的评课环节，老师们的评价指向于课堂教学的改进策略，对课堂中的师生行为也能进行评价，但评价结构性不强，聚焦不够，对</w:t>
      </w:r>
      <w:r>
        <w:rPr>
          <w:rFonts w:hint="eastAsia"/>
          <w:sz w:val="21"/>
          <w:szCs w:val="21"/>
          <w:highlight w:val="none"/>
          <w:lang w:val="en-US" w:eastAsia="zh-CN"/>
        </w:rPr>
        <w:t>应的</w:t>
      </w:r>
      <w:r>
        <w:rPr>
          <w:rFonts w:hint="eastAsia"/>
          <w:sz w:val="21"/>
          <w:szCs w:val="21"/>
          <w:highlight w:val="none"/>
        </w:rPr>
        <w:t>理论依据也比较模糊。</w:t>
      </w:r>
      <w:r>
        <w:rPr>
          <w:rFonts w:hint="eastAsia"/>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val="en-US" w:eastAsia="zh-CN"/>
        </w:rPr>
        <w:t>要逐步形成</w:t>
      </w:r>
      <w:r>
        <w:rPr>
          <w:rFonts w:hint="eastAsia"/>
          <w:sz w:val="24"/>
          <w:szCs w:val="24"/>
          <w:highlight w:val="none"/>
        </w:rPr>
        <w:t>老师将课堂转型的目标及具体要求在教研活动中，结合教学案例、结合评课的方式，来进一步明晰课堂转型的新要求，以点促面，促进每一位老师通过观课、评课，通过教研组的总结、提炼、培训来促成理念的再学习、再更新，进而推动每一位教师课堂教学生态的转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highlight w:val="none"/>
          <w:lang w:val="en-US" w:eastAsia="zh-CN"/>
        </w:rPr>
      </w:pPr>
      <w:r>
        <w:rPr>
          <w:rFonts w:hint="eastAsia"/>
          <w:b/>
          <w:bCs/>
          <w:sz w:val="24"/>
          <w:szCs w:val="24"/>
          <w:highlight w:val="none"/>
          <w:lang w:val="en-US" w:eastAsia="zh-CN"/>
        </w:rPr>
        <w:t>学科教师评课标准：</w:t>
      </w:r>
    </w:p>
    <w:tbl>
      <w:tblPr>
        <w:tblStyle w:val="5"/>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522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4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维度</w:t>
            </w:r>
          </w:p>
        </w:tc>
        <w:tc>
          <w:tcPr>
            <w:tcW w:w="522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观课视角</w:t>
            </w:r>
          </w:p>
        </w:tc>
        <w:tc>
          <w:tcPr>
            <w:tcW w:w="211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课堂观察记录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4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highlight w:val="none"/>
                <w:vertAlign w:val="baseline"/>
                <w:lang w:val="en-US" w:eastAsia="zh-CN"/>
              </w:rPr>
            </w:pPr>
            <w:r>
              <w:rPr>
                <w:rFonts w:hint="eastAsia"/>
                <w:sz w:val="24"/>
                <w:szCs w:val="24"/>
                <w:highlight w:val="none"/>
                <w:lang w:val="en-US" w:eastAsia="zh-CN"/>
              </w:rPr>
              <w:t>结构开放</w:t>
            </w:r>
          </w:p>
        </w:tc>
        <w:tc>
          <w:tcPr>
            <w:tcW w:w="522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1.问题面向全体学生，不同层次的学生都能进入学习状态。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2.问题或活动内涵从不同角度、不同水平参与的可能。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3.问题或活动基于学生已有知识与经验，又能促进学生进行多角度、多层次的独立思考。</w:t>
            </w:r>
          </w:p>
        </w:tc>
        <w:tc>
          <w:tcPr>
            <w:tcW w:w="211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本节课（ ）活动或问题进行了合理开放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一共有（）次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344"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lang w:val="en-US" w:eastAsia="zh-CN"/>
              </w:rPr>
            </w:pPr>
            <w:r>
              <w:rPr>
                <w:rFonts w:hint="eastAsia"/>
                <w:sz w:val="24"/>
                <w:szCs w:val="24"/>
                <w:highlight w:val="none"/>
                <w:lang w:val="en-US" w:eastAsia="zh-CN"/>
              </w:rPr>
              <w:t>重心下移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vertAlign w:val="baseline"/>
                <w:lang w:val="en-US" w:eastAsia="zh-CN"/>
              </w:rPr>
            </w:pPr>
          </w:p>
        </w:tc>
        <w:tc>
          <w:tcPr>
            <w:tcW w:w="5220" w:type="dxa"/>
          </w:tcPr>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sz w:val="24"/>
                <w:szCs w:val="24"/>
                <w:highlight w:val="none"/>
                <w:lang w:val="en-US" w:eastAsia="zh-CN"/>
              </w:rPr>
            </w:pPr>
            <w:r>
              <w:rPr>
                <w:rFonts w:hint="eastAsia"/>
                <w:sz w:val="24"/>
                <w:szCs w:val="24"/>
                <w:highlight w:val="none"/>
                <w:lang w:val="en-US" w:eastAsia="zh-CN"/>
              </w:rPr>
              <w:t>生生互动建立在学生独立思考的基础上。</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sz w:val="24"/>
                <w:szCs w:val="24"/>
                <w:highlight w:val="none"/>
                <w:lang w:val="en-US" w:eastAsia="zh-CN"/>
              </w:rPr>
            </w:pPr>
            <w:r>
              <w:rPr>
                <w:rFonts w:hint="eastAsia"/>
                <w:sz w:val="24"/>
                <w:szCs w:val="24"/>
                <w:highlight w:val="none"/>
                <w:lang w:val="en-US" w:eastAsia="zh-CN"/>
              </w:rPr>
              <w:t>学生有独立思考或合作学习的时间。</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sz w:val="24"/>
                <w:szCs w:val="24"/>
                <w:highlight w:val="none"/>
                <w:lang w:val="en-US" w:eastAsia="zh-CN"/>
              </w:rPr>
            </w:pPr>
            <w:r>
              <w:rPr>
                <w:rFonts w:hint="eastAsia"/>
                <w:sz w:val="24"/>
                <w:szCs w:val="24"/>
                <w:highlight w:val="none"/>
                <w:lang w:val="en-US" w:eastAsia="zh-CN"/>
              </w:rPr>
              <w:t>学生之间分工明确、合作有效。</w:t>
            </w:r>
          </w:p>
        </w:tc>
        <w:tc>
          <w:tcPr>
            <w:tcW w:w="2114"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highlight w:val="none"/>
                <w:vertAlign w:val="baseline"/>
                <w:lang w:val="en-US" w:eastAsia="zh-CN"/>
              </w:rPr>
            </w:pPr>
            <w:r>
              <w:rPr>
                <w:rFonts w:hint="eastAsia"/>
                <w:sz w:val="24"/>
                <w:szCs w:val="24"/>
                <w:highlight w:val="none"/>
                <w:vertAlign w:val="baseline"/>
                <w:lang w:val="en-US" w:eastAsia="zh-CN"/>
              </w:rPr>
              <w:t>本节课学生活动（）次，重心下移有（）次。</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2.明确梯队分工，清晰梯队的不同职责。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lang w:val="en-US" w:eastAsia="zh-CN"/>
        </w:rPr>
        <w:t>首先</w:t>
      </w:r>
      <w:r>
        <w:rPr>
          <w:rFonts w:hint="eastAsia"/>
          <w:sz w:val="24"/>
          <w:szCs w:val="24"/>
          <w:highlight w:val="none"/>
        </w:rPr>
        <w:t>发扬</w:t>
      </w:r>
      <w:r>
        <w:rPr>
          <w:rFonts w:hint="eastAsia"/>
          <w:sz w:val="24"/>
          <w:szCs w:val="24"/>
          <w:highlight w:val="none"/>
          <w:lang w:val="en-US" w:eastAsia="zh-CN"/>
        </w:rPr>
        <w:t>骨干</w:t>
      </w:r>
      <w:r>
        <w:rPr>
          <w:rFonts w:hint="eastAsia"/>
          <w:sz w:val="24"/>
          <w:szCs w:val="24"/>
          <w:highlight w:val="none"/>
        </w:rPr>
        <w:t>教师的经验和作用，开展教材分析、经验分享、课堂教学指导，放大</w:t>
      </w:r>
      <w:r>
        <w:rPr>
          <w:rFonts w:hint="eastAsia"/>
          <w:sz w:val="24"/>
          <w:szCs w:val="24"/>
          <w:highlight w:val="none"/>
          <w:lang w:val="en-US" w:eastAsia="zh-CN"/>
        </w:rPr>
        <w:t>其</w:t>
      </w:r>
      <w:r>
        <w:rPr>
          <w:rFonts w:hint="eastAsia"/>
          <w:sz w:val="24"/>
          <w:szCs w:val="24"/>
          <w:highlight w:val="none"/>
        </w:rPr>
        <w:t>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rPr>
      </w:pPr>
      <w:r>
        <w:rPr>
          <w:rFonts w:hint="eastAsia"/>
          <w:sz w:val="24"/>
          <w:szCs w:val="24"/>
          <w:highlight w:val="none"/>
        </w:rPr>
        <w:t>其次，要进一步提高青年教师的能力和素养，透过课堂案例来真正</w:t>
      </w:r>
      <w:r>
        <w:rPr>
          <w:rFonts w:hint="eastAsia"/>
          <w:sz w:val="24"/>
          <w:szCs w:val="24"/>
          <w:highlight w:val="none"/>
          <w:lang w:val="en-US" w:eastAsia="zh-CN"/>
        </w:rPr>
        <w:t>落地</w:t>
      </w:r>
      <w:r>
        <w:rPr>
          <w:rFonts w:hint="eastAsia"/>
          <w:sz w:val="24"/>
          <w:szCs w:val="24"/>
          <w:highlight w:val="none"/>
        </w:rPr>
        <w:t>课堂的教学理念，实现课堂特质</w:t>
      </w:r>
      <w:r>
        <w:rPr>
          <w:rFonts w:hint="eastAsia"/>
          <w:sz w:val="24"/>
          <w:szCs w:val="24"/>
          <w:highlight w:val="none"/>
          <w:lang w:eastAsia="zh-CN"/>
        </w:rPr>
        <w:t>。</w:t>
      </w:r>
      <w:r>
        <w:rPr>
          <w:rFonts w:hint="eastAsia"/>
          <w:sz w:val="24"/>
          <w:szCs w:val="24"/>
          <w:highlight w:val="none"/>
        </w:rPr>
        <w:t>规范日常课堂教学</w:t>
      </w:r>
      <w:r>
        <w:rPr>
          <w:rFonts w:hint="eastAsia"/>
          <w:sz w:val="24"/>
          <w:szCs w:val="24"/>
          <w:highlight w:val="none"/>
          <w:lang w:eastAsia="zh-CN"/>
        </w:rPr>
        <w:t>，</w:t>
      </w:r>
      <w:r>
        <w:rPr>
          <w:rFonts w:hint="eastAsia"/>
          <w:sz w:val="24"/>
          <w:szCs w:val="24"/>
          <w:highlight w:val="none"/>
          <w:lang w:val="en-US" w:eastAsia="zh-CN"/>
        </w:rPr>
        <w:t>与月调研相结合，</w:t>
      </w:r>
      <w:r>
        <w:rPr>
          <w:rFonts w:hint="eastAsia"/>
          <w:sz w:val="24"/>
          <w:szCs w:val="24"/>
          <w:highlight w:val="none"/>
        </w:rPr>
        <w:t>形成课堂教学调研的结果反馈机制</w:t>
      </w:r>
      <w:r>
        <w:rPr>
          <w:rFonts w:hint="eastAsia"/>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3.打造平台资源，提升教师外联能力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sz w:val="24"/>
          <w:szCs w:val="24"/>
          <w:highlight w:val="none"/>
          <w:lang w:val="en-US" w:eastAsia="zh-CN"/>
        </w:rPr>
      </w:pPr>
      <w:r>
        <w:rPr>
          <w:rFonts w:hint="eastAsia" w:ascii="宋体" w:hAnsi="宋体" w:eastAsia="宋体"/>
          <w:color w:val="000000"/>
          <w:sz w:val="24"/>
          <w:szCs w:val="24"/>
          <w:highlight w:val="none"/>
          <w:lang w:val="en-US" w:eastAsia="zh-CN"/>
        </w:rPr>
        <w:t>以校、区基本功大赛为契机，激发教师打磨基本功内驱力，以赛促练，以练促赛，提升教师素养。以市区教研活动、区名师工作室、校外学习等平台，</w:t>
      </w:r>
      <w:r>
        <w:rPr>
          <w:rFonts w:hint="eastAsia"/>
          <w:sz w:val="24"/>
          <w:szCs w:val="24"/>
          <w:highlight w:val="none"/>
        </w:rPr>
        <w:t>拓展平台联动，提</w:t>
      </w:r>
      <w:r>
        <w:rPr>
          <w:rFonts w:hint="eastAsia"/>
          <w:sz w:val="24"/>
          <w:szCs w:val="24"/>
          <w:highlight w:val="none"/>
          <w:lang w:val="en-US" w:eastAsia="zh-CN"/>
        </w:rPr>
        <w:t>升教师发展品质</w:t>
      </w:r>
      <w:r>
        <w:rPr>
          <w:rFonts w:hint="eastAsia"/>
          <w:sz w:val="24"/>
          <w:szCs w:val="24"/>
          <w:highlight w:val="none"/>
          <w:lang w:eastAsia="zh-CN"/>
        </w:rPr>
        <w:t>，</w:t>
      </w:r>
      <w:r>
        <w:rPr>
          <w:rFonts w:hint="eastAsia"/>
          <w:sz w:val="24"/>
          <w:szCs w:val="24"/>
          <w:highlight w:val="none"/>
          <w:lang w:val="en-US" w:eastAsia="zh-CN"/>
        </w:rPr>
        <w:t>放大教师学习价值。</w:t>
      </w:r>
    </w:p>
    <w:p>
      <w:pPr>
        <w:numPr>
          <w:ilvl w:val="0"/>
          <w:numId w:val="0"/>
        </w:numPr>
        <w:snapToGrid w:val="0"/>
        <w:spacing w:before="0" w:after="0" w:line="360" w:lineRule="auto"/>
        <w:ind w:firstLine="480" w:firstLineChars="200"/>
        <w:jc w:val="both"/>
        <w:rPr>
          <w:rFonts w:hint="eastAsia"/>
          <w:sz w:val="24"/>
          <w:szCs w:val="24"/>
          <w:highlight w:val="none"/>
          <w:lang w:val="en-US" w:eastAsia="zh-CN"/>
        </w:rPr>
      </w:pPr>
      <w:r>
        <w:rPr>
          <w:rFonts w:hint="eastAsia"/>
          <w:sz w:val="24"/>
          <w:szCs w:val="24"/>
          <w:highlight w:val="none"/>
          <w:lang w:val="en-US" w:eastAsia="zh-CN"/>
        </w:rPr>
        <w:t>（四）挖掘学科育人价值，全面提升学生综合素养。</w:t>
      </w:r>
    </w:p>
    <w:p>
      <w:pPr>
        <w:numPr>
          <w:ilvl w:val="0"/>
          <w:numId w:val="0"/>
        </w:numPr>
        <w:snapToGrid w:val="0"/>
        <w:spacing w:before="0" w:after="0" w:line="360" w:lineRule="auto"/>
        <w:ind w:firstLine="480" w:firstLineChars="200"/>
        <w:jc w:val="both"/>
        <w:rPr>
          <w:rFonts w:hint="eastAsia"/>
          <w:sz w:val="24"/>
          <w:szCs w:val="24"/>
          <w:highlight w:val="none"/>
          <w:lang w:val="en-US" w:eastAsia="zh-CN"/>
        </w:rPr>
      </w:pPr>
      <w:r>
        <w:rPr>
          <w:sz w:val="24"/>
          <w:szCs w:val="24"/>
          <w:highlight w:val="none"/>
        </w:rPr>
        <w:t>1.</w:t>
      </w:r>
      <w:r>
        <w:rPr>
          <w:rFonts w:hint="eastAsia"/>
          <w:sz w:val="24"/>
          <w:szCs w:val="24"/>
          <w:highlight w:val="none"/>
          <w:lang w:val="en-US" w:eastAsia="zh-CN"/>
        </w:rPr>
        <w:t>深化学科育人价值的挖掘，提升素养培养的认知。</w:t>
      </w:r>
    </w:p>
    <w:p>
      <w:pPr>
        <w:numPr>
          <w:ilvl w:val="0"/>
          <w:numId w:val="0"/>
        </w:numPr>
        <w:snapToGrid w:val="0"/>
        <w:spacing w:before="0" w:after="0" w:line="360" w:lineRule="auto"/>
        <w:ind w:firstLine="480" w:firstLineChars="200"/>
        <w:jc w:val="both"/>
        <w:rPr>
          <w:rFonts w:hint="default"/>
          <w:sz w:val="24"/>
          <w:szCs w:val="24"/>
          <w:highlight w:val="none"/>
          <w:lang w:val="en-US"/>
        </w:rPr>
      </w:pPr>
      <w:r>
        <w:rPr>
          <w:rFonts w:hint="eastAsia"/>
          <w:sz w:val="24"/>
          <w:szCs w:val="24"/>
          <w:highlight w:val="none"/>
          <w:lang w:val="en-US" w:eastAsia="zh-CN"/>
        </w:rPr>
        <w:t>首先进一步解读课标，重建学科教育价值观，要从学科的知识、技能、价值观进行学科素养的深度解读，了解学科素养的内涵与构成。由此进一步梳理学段知识、技能的梳理，更要进行学科素养内涵的深化，从而渗透到日常教学中，落地学生素养的培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sz w:val="24"/>
          <w:szCs w:val="24"/>
          <w:highlight w:val="none"/>
        </w:rPr>
      </w:pPr>
      <w:r>
        <w:rPr>
          <w:rFonts w:hint="eastAsia"/>
          <w:sz w:val="24"/>
          <w:szCs w:val="24"/>
          <w:highlight w:val="none"/>
          <w:lang w:val="en-US" w:eastAsia="zh-CN"/>
        </w:rPr>
        <w:t>2.</w:t>
      </w:r>
      <w:r>
        <w:rPr>
          <w:rFonts w:hint="eastAsia"/>
          <w:sz w:val="24"/>
          <w:szCs w:val="24"/>
          <w:highlight w:val="none"/>
        </w:rPr>
        <w:t>优化</w:t>
      </w:r>
      <w:r>
        <w:rPr>
          <w:rFonts w:hint="eastAsia"/>
          <w:sz w:val="24"/>
          <w:szCs w:val="24"/>
          <w:highlight w:val="none"/>
          <w:lang w:val="en-US" w:eastAsia="zh-CN"/>
        </w:rPr>
        <w:t>关键能力细目表</w:t>
      </w:r>
      <w:r>
        <w:rPr>
          <w:rFonts w:hint="eastAsia"/>
          <w:sz w:val="24"/>
          <w:szCs w:val="24"/>
          <w:highlight w:val="none"/>
        </w:rPr>
        <w:t>，提升监测质量。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sz w:val="24"/>
          <w:szCs w:val="24"/>
          <w:highlight w:val="none"/>
        </w:rPr>
      </w:pPr>
      <w:r>
        <w:rPr>
          <w:rFonts w:hint="eastAsia"/>
          <w:sz w:val="24"/>
          <w:szCs w:val="24"/>
          <w:highlight w:val="none"/>
          <w:lang w:val="en-US" w:eastAsia="zh-CN"/>
        </w:rPr>
        <w:t>进一步细化</w:t>
      </w:r>
      <w:r>
        <w:rPr>
          <w:rFonts w:hint="eastAsia"/>
          <w:sz w:val="24"/>
          <w:szCs w:val="24"/>
          <w:highlight w:val="none"/>
        </w:rPr>
        <w:t>关键能力和</w:t>
      </w:r>
      <w:r>
        <w:rPr>
          <w:rFonts w:hint="eastAsia"/>
          <w:sz w:val="24"/>
          <w:szCs w:val="24"/>
          <w:highlight w:val="none"/>
          <w:lang w:val="en-US" w:eastAsia="zh-CN"/>
        </w:rPr>
        <w:t>年段目标</w:t>
      </w:r>
      <w:r>
        <w:rPr>
          <w:rFonts w:hint="eastAsia"/>
          <w:sz w:val="24"/>
          <w:szCs w:val="24"/>
          <w:highlight w:val="none"/>
        </w:rPr>
        <w:t>，梳理关键能力的序列化线索，在此基础上对原有的</w:t>
      </w:r>
      <w:r>
        <w:rPr>
          <w:rFonts w:hint="eastAsia"/>
          <w:sz w:val="24"/>
          <w:szCs w:val="24"/>
          <w:highlight w:val="none"/>
          <w:lang w:val="en-US" w:eastAsia="zh-CN"/>
        </w:rPr>
        <w:t>知识类</w:t>
      </w:r>
      <w:r>
        <w:rPr>
          <w:rFonts w:hint="eastAsia"/>
          <w:sz w:val="24"/>
          <w:szCs w:val="24"/>
          <w:highlight w:val="none"/>
        </w:rPr>
        <w:t>关键能力进行完善，形成新的</w:t>
      </w:r>
      <w:r>
        <w:rPr>
          <w:rFonts w:hint="eastAsia"/>
          <w:sz w:val="24"/>
          <w:szCs w:val="24"/>
          <w:highlight w:val="none"/>
          <w:lang w:val="en-US" w:eastAsia="zh-CN"/>
        </w:rPr>
        <w:t>学科调研参考资源库</w:t>
      </w:r>
      <w:r>
        <w:rPr>
          <w:rFonts w:hint="eastAsia"/>
          <w:sz w:val="24"/>
          <w:szCs w:val="24"/>
          <w:highlight w:val="none"/>
        </w:rPr>
        <w:t>。</w:t>
      </w:r>
      <w:r>
        <w:rPr>
          <w:rFonts w:hint="eastAsia"/>
          <w:sz w:val="24"/>
          <w:szCs w:val="24"/>
          <w:highlight w:val="none"/>
          <w:lang w:val="en-US" w:eastAsia="zh-CN"/>
        </w:rPr>
        <w:t>根据资源库</w:t>
      </w:r>
      <w:r>
        <w:rPr>
          <w:rFonts w:hint="eastAsia"/>
          <w:sz w:val="24"/>
          <w:szCs w:val="24"/>
          <w:highlight w:val="none"/>
        </w:rPr>
        <w:t>进一步优化</w:t>
      </w:r>
      <w:r>
        <w:rPr>
          <w:rFonts w:hint="eastAsia"/>
          <w:sz w:val="24"/>
          <w:szCs w:val="24"/>
          <w:highlight w:val="none"/>
          <w:lang w:val="en-US" w:eastAsia="zh-CN"/>
        </w:rPr>
        <w:t>调研</w:t>
      </w:r>
      <w:r>
        <w:rPr>
          <w:rFonts w:hint="eastAsia"/>
          <w:sz w:val="24"/>
          <w:szCs w:val="24"/>
          <w:highlight w:val="none"/>
        </w:rPr>
        <w:t>设计和学习评价，整体化、</w:t>
      </w:r>
      <w:r>
        <w:rPr>
          <w:rFonts w:hint="eastAsia"/>
          <w:sz w:val="24"/>
          <w:szCs w:val="24"/>
          <w:highlight w:val="none"/>
          <w:lang w:val="en-US" w:eastAsia="zh-CN"/>
        </w:rPr>
        <w:t>长程</w:t>
      </w:r>
      <w:r>
        <w:rPr>
          <w:rFonts w:hint="eastAsia"/>
          <w:sz w:val="24"/>
          <w:szCs w:val="24"/>
          <w:highlight w:val="none"/>
        </w:rPr>
        <w:t>化设计</w:t>
      </w:r>
      <w:r>
        <w:rPr>
          <w:rFonts w:hint="eastAsia"/>
          <w:sz w:val="24"/>
          <w:szCs w:val="24"/>
          <w:highlight w:val="none"/>
          <w:lang w:val="en-US" w:eastAsia="zh-CN"/>
        </w:rPr>
        <w:t>能级调研策略与内容</w:t>
      </w:r>
      <w:r>
        <w:rPr>
          <w:rFonts w:hint="eastAsia"/>
          <w:sz w:val="24"/>
          <w:szCs w:val="24"/>
          <w:highlight w:val="none"/>
        </w:rPr>
        <w:t>，</w:t>
      </w:r>
      <w:r>
        <w:rPr>
          <w:rFonts w:hint="eastAsia"/>
          <w:sz w:val="24"/>
          <w:szCs w:val="24"/>
          <w:highlight w:val="none"/>
          <w:lang w:val="en-US" w:eastAsia="zh-CN"/>
        </w:rPr>
        <w:t>反哺</w:t>
      </w:r>
      <w:r>
        <w:rPr>
          <w:rFonts w:hint="eastAsia"/>
          <w:sz w:val="24"/>
          <w:szCs w:val="24"/>
          <w:highlight w:val="none"/>
        </w:rPr>
        <w:t>学生的</w:t>
      </w:r>
      <w:r>
        <w:rPr>
          <w:rFonts w:hint="eastAsia"/>
          <w:sz w:val="24"/>
          <w:szCs w:val="24"/>
          <w:highlight w:val="none"/>
          <w:lang w:val="en-US" w:eastAsia="zh-CN"/>
        </w:rPr>
        <w:t>日常</w:t>
      </w:r>
      <w:r>
        <w:rPr>
          <w:rFonts w:hint="eastAsia"/>
          <w:sz w:val="24"/>
          <w:szCs w:val="24"/>
          <w:highlight w:val="none"/>
        </w:rPr>
        <w:t>学习。</w:t>
      </w:r>
    </w:p>
    <w:tbl>
      <w:tblPr>
        <w:tblStyle w:val="5"/>
        <w:tblW w:w="0" w:type="auto"/>
        <w:tblInd w:w="1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144"/>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月份</w:t>
            </w:r>
          </w:p>
        </w:tc>
        <w:tc>
          <w:tcPr>
            <w:tcW w:w="31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能级调研内容</w:t>
            </w:r>
          </w:p>
        </w:tc>
        <w:tc>
          <w:tcPr>
            <w:tcW w:w="249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调研方式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3</w:t>
            </w:r>
          </w:p>
        </w:tc>
        <w:tc>
          <w:tcPr>
            <w:tcW w:w="31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单项技能</w:t>
            </w:r>
          </w:p>
        </w:tc>
        <w:tc>
          <w:tcPr>
            <w:tcW w:w="249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4</w:t>
            </w:r>
          </w:p>
        </w:tc>
        <w:tc>
          <w:tcPr>
            <w:tcW w:w="31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知识+技能</w:t>
            </w:r>
          </w:p>
        </w:tc>
        <w:tc>
          <w:tcPr>
            <w:tcW w:w="249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书面+展示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5</w:t>
            </w:r>
          </w:p>
        </w:tc>
        <w:tc>
          <w:tcPr>
            <w:tcW w:w="31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多项技能</w:t>
            </w:r>
          </w:p>
        </w:tc>
        <w:tc>
          <w:tcPr>
            <w:tcW w:w="249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highlight w:val="none"/>
                <w:vertAlign w:val="baseline"/>
              </w:rPr>
            </w:pPr>
            <w:r>
              <w:rPr>
                <w:rFonts w:hint="eastAsia"/>
                <w:sz w:val="24"/>
                <w:szCs w:val="24"/>
                <w:highlight w:val="none"/>
                <w:vertAlign w:val="baseline"/>
                <w:lang w:val="en-US" w:eastAsia="zh-CN"/>
              </w:rPr>
              <w:t>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6</w:t>
            </w:r>
          </w:p>
        </w:tc>
        <w:tc>
          <w:tcPr>
            <w:tcW w:w="3144"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eastAsiaTheme="minorEastAsia"/>
                <w:sz w:val="24"/>
                <w:szCs w:val="24"/>
                <w:highlight w:val="none"/>
                <w:vertAlign w:val="baseline"/>
                <w:lang w:val="en-US" w:eastAsia="zh-CN"/>
              </w:rPr>
            </w:pPr>
            <w:r>
              <w:rPr>
                <w:rFonts w:hint="eastAsia"/>
                <w:sz w:val="24"/>
                <w:szCs w:val="24"/>
                <w:highlight w:val="none"/>
                <w:vertAlign w:val="baseline"/>
                <w:lang w:val="en-US" w:eastAsia="zh-CN"/>
              </w:rPr>
              <w:t>知识+技能</w:t>
            </w:r>
          </w:p>
        </w:tc>
        <w:tc>
          <w:tcPr>
            <w:tcW w:w="2493"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highlight w:val="none"/>
                <w:vertAlign w:val="baseline"/>
              </w:rPr>
            </w:pPr>
            <w:r>
              <w:rPr>
                <w:rFonts w:hint="eastAsia"/>
                <w:sz w:val="24"/>
                <w:szCs w:val="24"/>
                <w:highlight w:val="none"/>
                <w:vertAlign w:val="baseline"/>
                <w:lang w:val="en-US" w:eastAsia="zh-CN"/>
              </w:rPr>
              <w:t>书面+展示</w:t>
            </w:r>
          </w:p>
        </w:tc>
      </w:tr>
    </w:tbl>
    <w:p>
      <w:pPr>
        <w:numPr>
          <w:ilvl w:val="0"/>
          <w:numId w:val="0"/>
        </w:numPr>
        <w:snapToGrid w:val="0"/>
        <w:spacing w:before="0" w:after="0" w:line="360" w:lineRule="auto"/>
        <w:ind w:leftChars="0"/>
        <w:jc w:val="both"/>
        <w:rPr>
          <w:rFonts w:hint="eastAsia"/>
          <w:b/>
          <w:bCs/>
          <w:sz w:val="24"/>
          <w:szCs w:val="24"/>
          <w:highlight w:val="green"/>
          <w:lang w:val="en-US" w:eastAsia="zh-CN"/>
        </w:rPr>
      </w:pPr>
    </w:p>
    <w:p>
      <w:pPr>
        <w:numPr>
          <w:ilvl w:val="0"/>
          <w:numId w:val="0"/>
        </w:numPr>
        <w:snapToGrid w:val="0"/>
        <w:spacing w:before="0" w:after="0" w:line="360" w:lineRule="auto"/>
        <w:ind w:leftChars="0" w:firstLine="480" w:firstLineChars="200"/>
        <w:jc w:val="both"/>
        <w:rPr>
          <w:rFonts w:hint="eastAsia"/>
          <w:sz w:val="24"/>
          <w:szCs w:val="24"/>
          <w:highlight w:val="none"/>
          <w:lang w:val="en-US" w:eastAsia="zh-CN"/>
        </w:rPr>
      </w:pPr>
      <w:r>
        <w:rPr>
          <w:rFonts w:hint="eastAsia"/>
          <w:sz w:val="24"/>
          <w:szCs w:val="24"/>
          <w:highlight w:val="none"/>
          <w:lang w:val="en-US" w:eastAsia="zh-CN"/>
        </w:rPr>
        <w:t>3.统整和优化课内外资源。</w:t>
      </w:r>
    </w:p>
    <w:p>
      <w:pPr>
        <w:numPr>
          <w:ilvl w:val="0"/>
          <w:numId w:val="0"/>
        </w:numPr>
        <w:snapToGrid w:val="0"/>
        <w:spacing w:before="0" w:after="0" w:line="360" w:lineRule="auto"/>
        <w:ind w:leftChars="0" w:firstLine="480" w:firstLineChars="200"/>
        <w:jc w:val="both"/>
        <w:rPr>
          <w:rFonts w:hint="eastAsia"/>
          <w:sz w:val="24"/>
          <w:szCs w:val="24"/>
          <w:highlight w:val="none"/>
          <w:lang w:val="en-US" w:eastAsia="zh-CN"/>
        </w:rPr>
      </w:pPr>
      <w:r>
        <w:rPr>
          <w:rFonts w:hint="eastAsia"/>
          <w:sz w:val="24"/>
          <w:szCs w:val="24"/>
          <w:highlight w:val="none"/>
        </w:rPr>
        <w:t>进一步研究如何将课外资源与教材内容进行勾连和运用，</w:t>
      </w:r>
      <w:r>
        <w:rPr>
          <w:rFonts w:hint="eastAsia"/>
          <w:sz w:val="24"/>
          <w:szCs w:val="24"/>
          <w:highlight w:val="none"/>
          <w:lang w:val="en-US" w:eastAsia="zh-CN"/>
        </w:rPr>
        <w:t>并通过期初课程展评、各类竞赛、大型活动，</w:t>
      </w:r>
      <w:r>
        <w:rPr>
          <w:rFonts w:hint="eastAsia"/>
          <w:sz w:val="24"/>
          <w:szCs w:val="24"/>
          <w:highlight w:val="none"/>
        </w:rPr>
        <w:t>拓展学生</w:t>
      </w:r>
      <w:r>
        <w:rPr>
          <w:rFonts w:hint="eastAsia"/>
          <w:sz w:val="24"/>
          <w:szCs w:val="24"/>
          <w:highlight w:val="none"/>
          <w:lang w:eastAsia="zh-CN"/>
        </w:rPr>
        <w:t>综合</w:t>
      </w:r>
      <w:r>
        <w:rPr>
          <w:rFonts w:hint="eastAsia"/>
          <w:sz w:val="24"/>
          <w:szCs w:val="24"/>
          <w:highlight w:val="none"/>
        </w:rPr>
        <w:t>学习的视野和综合学习能力，结合社会发展背景，融合多种资源，实现课内外资源的勾连与运用</w:t>
      </w:r>
      <w:r>
        <w:rPr>
          <w:rFonts w:hint="eastAsia"/>
          <w:sz w:val="24"/>
          <w:szCs w:val="24"/>
          <w:highlight w:val="none"/>
          <w:lang w:eastAsia="zh-CN"/>
        </w:rPr>
        <w:t>，</w:t>
      </w:r>
      <w:r>
        <w:rPr>
          <w:rFonts w:hint="eastAsia"/>
          <w:sz w:val="24"/>
          <w:szCs w:val="24"/>
          <w:highlight w:val="none"/>
        </w:rPr>
        <w:t>实现课程融通</w:t>
      </w:r>
      <w:r>
        <w:rPr>
          <w:rFonts w:hint="eastAsia"/>
          <w:sz w:val="24"/>
          <w:szCs w:val="24"/>
          <w:highlight w:val="none"/>
          <w:lang w:val="en-US" w:eastAsia="zh-CN"/>
        </w:rPr>
        <w:t>与悦纳，进而实现教会、勤练、常赛的培养机制。</w:t>
      </w:r>
    </w:p>
    <w:p>
      <w:pPr>
        <w:numPr>
          <w:ilvl w:val="0"/>
          <w:numId w:val="0"/>
        </w:numPr>
        <w:snapToGrid w:val="0"/>
        <w:spacing w:before="0" w:after="0" w:line="360" w:lineRule="auto"/>
        <w:jc w:val="left"/>
        <w:rPr>
          <w:rFonts w:hint="default"/>
          <w:sz w:val="48"/>
          <w:szCs w:val="48"/>
          <w:highlight w:val="none"/>
          <w:lang w:val="en-US" w:eastAsia="zh-CN"/>
        </w:rPr>
      </w:pPr>
      <w:r>
        <w:rPr>
          <w:rFonts w:hint="eastAsia"/>
          <w:sz w:val="48"/>
          <w:szCs w:val="48"/>
          <w:highlight w:val="none"/>
          <w:lang w:val="en-US" w:eastAsia="zh-CN"/>
        </w:rPr>
        <w:t>本学期主要工作：</w:t>
      </w:r>
    </w:p>
    <w:tbl>
      <w:tblPr>
        <w:tblStyle w:val="5"/>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4938"/>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4" w:type="dxa"/>
          </w:tcPr>
          <w:p>
            <w:pPr>
              <w:snapToGrid w:val="0"/>
              <w:spacing w:before="0" w:after="0" w:line="360" w:lineRule="auto"/>
              <w:jc w:val="both"/>
              <w:rPr>
                <w:rFonts w:hint="eastAsia"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时间</w:t>
            </w:r>
          </w:p>
        </w:tc>
        <w:tc>
          <w:tcPr>
            <w:tcW w:w="4938"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事件</w:t>
            </w:r>
          </w:p>
        </w:tc>
        <w:tc>
          <w:tcPr>
            <w:tcW w:w="2717"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4" w:type="dxa"/>
            <w:vMerge w:val="restart"/>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2月</w:t>
            </w:r>
          </w:p>
        </w:tc>
        <w:tc>
          <w:tcPr>
            <w:tcW w:w="4938"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期初课程展评</w:t>
            </w:r>
          </w:p>
        </w:tc>
        <w:tc>
          <w:tcPr>
            <w:tcW w:w="2717"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科学组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4" w:type="dxa"/>
            <w:vMerge w:val="continue"/>
          </w:tcPr>
          <w:p>
            <w:pPr>
              <w:snapToGrid w:val="0"/>
              <w:spacing w:before="0" w:after="0" w:line="360" w:lineRule="auto"/>
              <w:jc w:val="both"/>
              <w:rPr>
                <w:rFonts w:hint="eastAsia" w:ascii="宋体" w:hAnsi="宋体" w:eastAsia="宋体"/>
                <w:b/>
                <w:bCs/>
                <w:color w:val="000000"/>
                <w:sz w:val="24"/>
                <w:szCs w:val="24"/>
                <w:highlight w:val="none"/>
                <w:vertAlign w:val="baseline"/>
                <w:lang w:val="en-US" w:eastAsia="zh-CN"/>
              </w:rPr>
            </w:pPr>
          </w:p>
        </w:tc>
        <w:tc>
          <w:tcPr>
            <w:tcW w:w="4938"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申报徐铭雪区级公开课</w:t>
            </w:r>
          </w:p>
        </w:tc>
        <w:tc>
          <w:tcPr>
            <w:tcW w:w="2717"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武亚敏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4" w:type="dxa"/>
            <w:vMerge w:val="restart"/>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3月</w:t>
            </w:r>
          </w:p>
        </w:tc>
        <w:tc>
          <w:tcPr>
            <w:tcW w:w="4938"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江苏省第十五届“蓝天杯”优秀教学设计评比</w:t>
            </w:r>
          </w:p>
        </w:tc>
        <w:tc>
          <w:tcPr>
            <w:tcW w:w="2717"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科学组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4" w:type="dxa"/>
            <w:vMerge w:val="continue"/>
          </w:tcPr>
          <w:p>
            <w:pPr>
              <w:snapToGrid w:val="0"/>
              <w:spacing w:before="0" w:after="0" w:line="360" w:lineRule="auto"/>
              <w:jc w:val="both"/>
              <w:rPr>
                <w:rFonts w:hint="eastAsia" w:ascii="宋体" w:hAnsi="宋体" w:eastAsia="宋体"/>
                <w:b/>
                <w:bCs/>
                <w:color w:val="000000"/>
                <w:sz w:val="24"/>
                <w:szCs w:val="24"/>
                <w:highlight w:val="none"/>
                <w:vertAlign w:val="baseline"/>
                <w:lang w:val="en-US" w:eastAsia="zh-CN"/>
              </w:rPr>
            </w:pPr>
          </w:p>
        </w:tc>
        <w:tc>
          <w:tcPr>
            <w:tcW w:w="4938"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准备徐铭雪区级公开课</w:t>
            </w:r>
          </w:p>
        </w:tc>
        <w:tc>
          <w:tcPr>
            <w:tcW w:w="2717"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科学组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4" w:type="dxa"/>
            <w:vMerge w:val="restart"/>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4月</w:t>
            </w:r>
          </w:p>
        </w:tc>
        <w:tc>
          <w:tcPr>
            <w:tcW w:w="4938"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备战新北区小学科学基本功比赛</w:t>
            </w:r>
          </w:p>
        </w:tc>
        <w:tc>
          <w:tcPr>
            <w:tcW w:w="2717"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科学组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4" w:type="dxa"/>
            <w:vMerge w:val="continue"/>
          </w:tcPr>
          <w:p>
            <w:pPr>
              <w:snapToGrid w:val="0"/>
              <w:spacing w:before="0" w:after="0" w:line="360" w:lineRule="auto"/>
              <w:jc w:val="both"/>
              <w:rPr>
                <w:rFonts w:hint="eastAsia" w:ascii="宋体" w:hAnsi="宋体" w:eastAsia="宋体"/>
                <w:b/>
                <w:bCs/>
                <w:color w:val="000000"/>
                <w:sz w:val="24"/>
                <w:szCs w:val="24"/>
                <w:highlight w:val="none"/>
                <w:vertAlign w:val="baseline"/>
                <w:lang w:val="en-US" w:eastAsia="zh-CN"/>
              </w:rPr>
            </w:pPr>
          </w:p>
        </w:tc>
        <w:tc>
          <w:tcPr>
            <w:tcW w:w="4938"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讨论制定小学科学学科教学建议</w:t>
            </w:r>
          </w:p>
        </w:tc>
        <w:tc>
          <w:tcPr>
            <w:tcW w:w="2717"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科学组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04"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5月</w:t>
            </w:r>
          </w:p>
        </w:tc>
        <w:tc>
          <w:tcPr>
            <w:tcW w:w="4938"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新北区小学科学基本功比赛</w:t>
            </w:r>
          </w:p>
        </w:tc>
        <w:tc>
          <w:tcPr>
            <w:tcW w:w="2717"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徐铭雪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04"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6月</w:t>
            </w:r>
          </w:p>
        </w:tc>
        <w:tc>
          <w:tcPr>
            <w:tcW w:w="4938"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完善小学科学学科教学建议</w:t>
            </w:r>
          </w:p>
        </w:tc>
        <w:tc>
          <w:tcPr>
            <w:tcW w:w="2717" w:type="dxa"/>
          </w:tcPr>
          <w:p>
            <w:pPr>
              <w:snapToGrid w:val="0"/>
              <w:spacing w:before="0" w:after="0" w:line="360" w:lineRule="auto"/>
              <w:jc w:val="both"/>
              <w:rPr>
                <w:rFonts w:hint="default" w:ascii="宋体" w:hAnsi="宋体" w:eastAsia="宋体"/>
                <w:b/>
                <w:bCs/>
                <w:color w:val="000000"/>
                <w:sz w:val="24"/>
                <w:szCs w:val="24"/>
                <w:highlight w:val="none"/>
                <w:vertAlign w:val="baseline"/>
                <w:lang w:val="en-US" w:eastAsia="zh-CN"/>
              </w:rPr>
            </w:pPr>
            <w:r>
              <w:rPr>
                <w:rFonts w:hint="eastAsia" w:ascii="宋体" w:hAnsi="宋体" w:eastAsia="宋体"/>
                <w:b/>
                <w:bCs/>
                <w:color w:val="000000"/>
                <w:sz w:val="24"/>
                <w:szCs w:val="24"/>
                <w:highlight w:val="none"/>
                <w:vertAlign w:val="baseline"/>
                <w:lang w:val="en-US" w:eastAsia="zh-CN"/>
              </w:rPr>
              <w:t>科学组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default" w:eastAsiaTheme="minorEastAsia"/>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highlight w:val="none"/>
        </w:rPr>
      </w:pPr>
      <w:r>
        <w:rPr>
          <w:rFonts w:hint="eastAsia"/>
          <w:sz w:val="24"/>
          <w:szCs w:val="24"/>
          <w:highlight w:val="none"/>
          <w:lang w:val="en-US" w:eastAsia="zh-CN"/>
        </w:rPr>
        <w:t>本学期科学</w:t>
      </w:r>
      <w:r>
        <w:rPr>
          <w:rFonts w:hint="eastAsia"/>
          <w:sz w:val="24"/>
          <w:szCs w:val="24"/>
          <w:highlight w:val="none"/>
        </w:rPr>
        <w:t>组将扎实推进各项制度与活动，推动制度实行</w:t>
      </w:r>
      <w:r>
        <w:rPr>
          <w:rFonts w:hint="eastAsia"/>
          <w:sz w:val="24"/>
          <w:szCs w:val="24"/>
          <w:highlight w:val="none"/>
          <w:lang w:eastAsia="zh-CN"/>
        </w:rPr>
        <w:t>、</w:t>
      </w:r>
      <w:r>
        <w:rPr>
          <w:rFonts w:hint="eastAsia"/>
          <w:sz w:val="24"/>
          <w:szCs w:val="24"/>
          <w:highlight w:val="none"/>
          <w:lang w:val="en-US" w:eastAsia="zh-CN"/>
        </w:rPr>
        <w:t>课程</w:t>
      </w:r>
      <w:r>
        <w:rPr>
          <w:rFonts w:hint="eastAsia"/>
          <w:sz w:val="24"/>
          <w:szCs w:val="24"/>
          <w:highlight w:val="none"/>
        </w:rPr>
        <w:t>施行、教师发展和学生发展，期待每一步都走得稳健、有效</w:t>
      </w:r>
      <w:r>
        <w:rPr>
          <w:rFonts w:hint="eastAsia"/>
          <w:sz w:val="24"/>
          <w:szCs w:val="24"/>
          <w:highlight w:val="none"/>
          <w:lang w:eastAsia="zh-CN"/>
        </w:rPr>
        <w:t>。</w:t>
      </w:r>
      <w:r>
        <w:rPr>
          <w:rFonts w:hint="eastAsia"/>
          <w:sz w:val="24"/>
          <w:szCs w:val="24"/>
          <w:highlight w:val="none"/>
        </w:rPr>
        <w:t>能转变教师的教学思维，促成课堂教学的变革，提升教师的素养，最终促进学生素养</w:t>
      </w:r>
      <w:r>
        <w:rPr>
          <w:rFonts w:hint="eastAsia"/>
          <w:sz w:val="24"/>
          <w:szCs w:val="24"/>
          <w:highlight w:val="none"/>
          <w:lang w:val="en-US" w:eastAsia="zh-CN"/>
        </w:rPr>
        <w:t>的</w:t>
      </w:r>
      <w:r>
        <w:rPr>
          <w:rFonts w:hint="eastAsia"/>
          <w:sz w:val="24"/>
          <w:szCs w:val="24"/>
          <w:highlight w:val="none"/>
        </w:rPr>
        <w:t>提升。</w:t>
      </w:r>
    </w:p>
    <w:p>
      <w:pPr>
        <w:rPr>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5FDE8"/>
    <w:multiLevelType w:val="singleLevel"/>
    <w:tmpl w:val="8F55FDE8"/>
    <w:lvl w:ilvl="0" w:tentative="0">
      <w:start w:val="1"/>
      <w:numFmt w:val="decimal"/>
      <w:lvlText w:val="%1."/>
      <w:lvlJc w:val="left"/>
      <w:pPr>
        <w:tabs>
          <w:tab w:val="left" w:pos="312"/>
        </w:tabs>
      </w:pPr>
    </w:lvl>
  </w:abstractNum>
  <w:abstractNum w:abstractNumId="1">
    <w:nsid w:val="9AFE4A71"/>
    <w:multiLevelType w:val="singleLevel"/>
    <w:tmpl w:val="9AFE4A71"/>
    <w:lvl w:ilvl="0" w:tentative="0">
      <w:start w:val="1"/>
      <w:numFmt w:val="decimal"/>
      <w:lvlText w:val="%1."/>
      <w:lvlJc w:val="left"/>
      <w:pPr>
        <w:tabs>
          <w:tab w:val="left" w:pos="312"/>
        </w:tabs>
      </w:pPr>
    </w:lvl>
  </w:abstractNum>
  <w:abstractNum w:abstractNumId="2">
    <w:nsid w:val="601C1814"/>
    <w:multiLevelType w:val="singleLevel"/>
    <w:tmpl w:val="601C1814"/>
    <w:lvl w:ilvl="0" w:tentative="0">
      <w:start w:val="2"/>
      <w:numFmt w:val="chineseCounting"/>
      <w:suff w:val="nothing"/>
      <w:lvlText w:val="（%1）"/>
      <w:lvlJc w:val="left"/>
      <w:rPr>
        <w:rFonts w:hint="eastAsia"/>
      </w:rPr>
    </w:lvl>
  </w:abstractNum>
  <w:abstractNum w:abstractNumId="3">
    <w:nsid w:val="752A93F1"/>
    <w:multiLevelType w:val="singleLevel"/>
    <w:tmpl w:val="752A93F1"/>
    <w:lvl w:ilvl="0" w:tentative="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530A7"/>
    <w:rsid w:val="002F5D4F"/>
    <w:rsid w:val="00CF3D85"/>
    <w:rsid w:val="01090707"/>
    <w:rsid w:val="014367FA"/>
    <w:rsid w:val="030924B5"/>
    <w:rsid w:val="044B373F"/>
    <w:rsid w:val="05DA78BD"/>
    <w:rsid w:val="060044AD"/>
    <w:rsid w:val="065974A6"/>
    <w:rsid w:val="06A82704"/>
    <w:rsid w:val="06C106FB"/>
    <w:rsid w:val="06D203FC"/>
    <w:rsid w:val="06FC0EE4"/>
    <w:rsid w:val="07833AF8"/>
    <w:rsid w:val="07C947D3"/>
    <w:rsid w:val="07DD7A51"/>
    <w:rsid w:val="07E04BDA"/>
    <w:rsid w:val="08620148"/>
    <w:rsid w:val="089F2616"/>
    <w:rsid w:val="08AF2550"/>
    <w:rsid w:val="08D40898"/>
    <w:rsid w:val="09067FAD"/>
    <w:rsid w:val="095C7776"/>
    <w:rsid w:val="096E38A0"/>
    <w:rsid w:val="09796C64"/>
    <w:rsid w:val="09995631"/>
    <w:rsid w:val="09BE50F3"/>
    <w:rsid w:val="0AA879EA"/>
    <w:rsid w:val="0B1F2F99"/>
    <w:rsid w:val="0B3E2BDF"/>
    <w:rsid w:val="0B4A0B20"/>
    <w:rsid w:val="0B9666B7"/>
    <w:rsid w:val="0BA30D6A"/>
    <w:rsid w:val="0C6024E7"/>
    <w:rsid w:val="0C656456"/>
    <w:rsid w:val="0C820529"/>
    <w:rsid w:val="0C8D0695"/>
    <w:rsid w:val="0CB85068"/>
    <w:rsid w:val="0D6C4BC0"/>
    <w:rsid w:val="0DCD2B31"/>
    <w:rsid w:val="0DD851E4"/>
    <w:rsid w:val="0DF807E6"/>
    <w:rsid w:val="0EE62D4A"/>
    <w:rsid w:val="0F2317FF"/>
    <w:rsid w:val="0F2E1558"/>
    <w:rsid w:val="0F39623B"/>
    <w:rsid w:val="0FFF11E2"/>
    <w:rsid w:val="10105CD4"/>
    <w:rsid w:val="103D6A6C"/>
    <w:rsid w:val="106D32D3"/>
    <w:rsid w:val="109B5153"/>
    <w:rsid w:val="11FF7C83"/>
    <w:rsid w:val="12052E75"/>
    <w:rsid w:val="121541AF"/>
    <w:rsid w:val="13711262"/>
    <w:rsid w:val="13BC216B"/>
    <w:rsid w:val="146104D1"/>
    <w:rsid w:val="1483712C"/>
    <w:rsid w:val="148B207B"/>
    <w:rsid w:val="14A8123C"/>
    <w:rsid w:val="14B61949"/>
    <w:rsid w:val="14D44C02"/>
    <w:rsid w:val="161F2F14"/>
    <w:rsid w:val="17A27CA7"/>
    <w:rsid w:val="18455EAD"/>
    <w:rsid w:val="18477090"/>
    <w:rsid w:val="18A37EBB"/>
    <w:rsid w:val="18D333DB"/>
    <w:rsid w:val="19A811C0"/>
    <w:rsid w:val="19CB1F80"/>
    <w:rsid w:val="1A0760B4"/>
    <w:rsid w:val="1AD81E25"/>
    <w:rsid w:val="1B0B53C6"/>
    <w:rsid w:val="1B86137E"/>
    <w:rsid w:val="1BF05697"/>
    <w:rsid w:val="1C4111F9"/>
    <w:rsid w:val="1C5805BC"/>
    <w:rsid w:val="1C7900CC"/>
    <w:rsid w:val="1D077C08"/>
    <w:rsid w:val="1D5A4F2B"/>
    <w:rsid w:val="1DCA5168"/>
    <w:rsid w:val="1EB94C77"/>
    <w:rsid w:val="1F6530CA"/>
    <w:rsid w:val="1F6E7AF4"/>
    <w:rsid w:val="20A7757D"/>
    <w:rsid w:val="20E73A2D"/>
    <w:rsid w:val="21A81211"/>
    <w:rsid w:val="22BD345B"/>
    <w:rsid w:val="23AA438B"/>
    <w:rsid w:val="240C73FA"/>
    <w:rsid w:val="24390955"/>
    <w:rsid w:val="24CC066B"/>
    <w:rsid w:val="24DA574D"/>
    <w:rsid w:val="261F3436"/>
    <w:rsid w:val="271A0DDA"/>
    <w:rsid w:val="278826A0"/>
    <w:rsid w:val="28B74EBE"/>
    <w:rsid w:val="28D62562"/>
    <w:rsid w:val="2935648E"/>
    <w:rsid w:val="295A5453"/>
    <w:rsid w:val="29893422"/>
    <w:rsid w:val="29951A20"/>
    <w:rsid w:val="2A162BA5"/>
    <w:rsid w:val="2A743BF7"/>
    <w:rsid w:val="2AD04A06"/>
    <w:rsid w:val="2B6075AF"/>
    <w:rsid w:val="2B846039"/>
    <w:rsid w:val="2D5E5185"/>
    <w:rsid w:val="2D7D7E4E"/>
    <w:rsid w:val="2E1404DF"/>
    <w:rsid w:val="2EEB4546"/>
    <w:rsid w:val="2F0C15DC"/>
    <w:rsid w:val="2F520F6D"/>
    <w:rsid w:val="2F7756C8"/>
    <w:rsid w:val="2FDB5793"/>
    <w:rsid w:val="2FF20561"/>
    <w:rsid w:val="30CF72F1"/>
    <w:rsid w:val="31853FEB"/>
    <w:rsid w:val="31932791"/>
    <w:rsid w:val="31E51414"/>
    <w:rsid w:val="324368B4"/>
    <w:rsid w:val="326036C4"/>
    <w:rsid w:val="33237BC5"/>
    <w:rsid w:val="33DC32A5"/>
    <w:rsid w:val="35C15318"/>
    <w:rsid w:val="36933679"/>
    <w:rsid w:val="36AE58D0"/>
    <w:rsid w:val="371E4F5D"/>
    <w:rsid w:val="374903B2"/>
    <w:rsid w:val="37726AB3"/>
    <w:rsid w:val="383B20F8"/>
    <w:rsid w:val="386E58FB"/>
    <w:rsid w:val="38B766D2"/>
    <w:rsid w:val="39163830"/>
    <w:rsid w:val="39797E50"/>
    <w:rsid w:val="3A0D0AD8"/>
    <w:rsid w:val="3AE94989"/>
    <w:rsid w:val="3CA34C6A"/>
    <w:rsid w:val="3D0828D1"/>
    <w:rsid w:val="3D9D681D"/>
    <w:rsid w:val="3DDF734D"/>
    <w:rsid w:val="3E9D4902"/>
    <w:rsid w:val="3EF0541E"/>
    <w:rsid w:val="3F147A24"/>
    <w:rsid w:val="3F834AA5"/>
    <w:rsid w:val="3F8B634F"/>
    <w:rsid w:val="407A6084"/>
    <w:rsid w:val="40BA29AE"/>
    <w:rsid w:val="40EF1958"/>
    <w:rsid w:val="41030B4A"/>
    <w:rsid w:val="416F0DF8"/>
    <w:rsid w:val="417120EF"/>
    <w:rsid w:val="417C19CF"/>
    <w:rsid w:val="41DA6088"/>
    <w:rsid w:val="41EF400C"/>
    <w:rsid w:val="4223511F"/>
    <w:rsid w:val="429A5B51"/>
    <w:rsid w:val="434C1C67"/>
    <w:rsid w:val="434C3AF7"/>
    <w:rsid w:val="439F25B7"/>
    <w:rsid w:val="43A64CFB"/>
    <w:rsid w:val="43E443BF"/>
    <w:rsid w:val="44881987"/>
    <w:rsid w:val="45324E99"/>
    <w:rsid w:val="456C1994"/>
    <w:rsid w:val="45710543"/>
    <w:rsid w:val="47C77498"/>
    <w:rsid w:val="47F36828"/>
    <w:rsid w:val="48196961"/>
    <w:rsid w:val="481E3D0B"/>
    <w:rsid w:val="491160E0"/>
    <w:rsid w:val="495C58D3"/>
    <w:rsid w:val="4A2E0A9F"/>
    <w:rsid w:val="4A5D36E0"/>
    <w:rsid w:val="4AEC1678"/>
    <w:rsid w:val="4C03086E"/>
    <w:rsid w:val="4C0562A9"/>
    <w:rsid w:val="4C0A50D0"/>
    <w:rsid w:val="4D0D73E2"/>
    <w:rsid w:val="4E1B27C1"/>
    <w:rsid w:val="4E73499A"/>
    <w:rsid w:val="4EA416D8"/>
    <w:rsid w:val="4F38712D"/>
    <w:rsid w:val="4FA957EC"/>
    <w:rsid w:val="4FFF3490"/>
    <w:rsid w:val="50A66770"/>
    <w:rsid w:val="51D55CD8"/>
    <w:rsid w:val="521425B1"/>
    <w:rsid w:val="522C4449"/>
    <w:rsid w:val="53701C7C"/>
    <w:rsid w:val="53B736ED"/>
    <w:rsid w:val="54613670"/>
    <w:rsid w:val="549A26FE"/>
    <w:rsid w:val="54BD11D9"/>
    <w:rsid w:val="55001290"/>
    <w:rsid w:val="553B1E12"/>
    <w:rsid w:val="55B45706"/>
    <w:rsid w:val="569A5CE1"/>
    <w:rsid w:val="57C47A0C"/>
    <w:rsid w:val="587E0A9D"/>
    <w:rsid w:val="588E4A7F"/>
    <w:rsid w:val="58E3379C"/>
    <w:rsid w:val="590F3C05"/>
    <w:rsid w:val="597A65C1"/>
    <w:rsid w:val="59F3544C"/>
    <w:rsid w:val="5AFD127C"/>
    <w:rsid w:val="5B0A5D41"/>
    <w:rsid w:val="5B687791"/>
    <w:rsid w:val="5B936FB9"/>
    <w:rsid w:val="5BD6539C"/>
    <w:rsid w:val="5CF13847"/>
    <w:rsid w:val="5D717868"/>
    <w:rsid w:val="5D93135F"/>
    <w:rsid w:val="5DBB4E5C"/>
    <w:rsid w:val="5DDA717E"/>
    <w:rsid w:val="5E3047E1"/>
    <w:rsid w:val="5F2E3DD5"/>
    <w:rsid w:val="600A269D"/>
    <w:rsid w:val="605F3A25"/>
    <w:rsid w:val="60AF2633"/>
    <w:rsid w:val="60B07BE6"/>
    <w:rsid w:val="60F053DA"/>
    <w:rsid w:val="61126FAB"/>
    <w:rsid w:val="614F0446"/>
    <w:rsid w:val="62C301E0"/>
    <w:rsid w:val="65EC2579"/>
    <w:rsid w:val="66220D8C"/>
    <w:rsid w:val="671966C9"/>
    <w:rsid w:val="67E3679B"/>
    <w:rsid w:val="67FF3BD4"/>
    <w:rsid w:val="681505B6"/>
    <w:rsid w:val="688A05EA"/>
    <w:rsid w:val="68DE2FF4"/>
    <w:rsid w:val="696F4813"/>
    <w:rsid w:val="69B3302E"/>
    <w:rsid w:val="6A26222E"/>
    <w:rsid w:val="6AFD737D"/>
    <w:rsid w:val="6C3943CC"/>
    <w:rsid w:val="6C5B3752"/>
    <w:rsid w:val="6CA26FEE"/>
    <w:rsid w:val="6DA414F2"/>
    <w:rsid w:val="6E034191"/>
    <w:rsid w:val="6E3C14EC"/>
    <w:rsid w:val="6E4F7D7B"/>
    <w:rsid w:val="6E802C93"/>
    <w:rsid w:val="6E984E60"/>
    <w:rsid w:val="6EC17BF5"/>
    <w:rsid w:val="6ECD5CF6"/>
    <w:rsid w:val="6ED86D6A"/>
    <w:rsid w:val="6F36185C"/>
    <w:rsid w:val="6FC73490"/>
    <w:rsid w:val="70B06C0B"/>
    <w:rsid w:val="70C769C6"/>
    <w:rsid w:val="70D139E8"/>
    <w:rsid w:val="720B74C9"/>
    <w:rsid w:val="722534DA"/>
    <w:rsid w:val="725A079B"/>
    <w:rsid w:val="72750FA5"/>
    <w:rsid w:val="728168E0"/>
    <w:rsid w:val="72C46E1E"/>
    <w:rsid w:val="730966DF"/>
    <w:rsid w:val="738B2FDF"/>
    <w:rsid w:val="73E53B71"/>
    <w:rsid w:val="75781F12"/>
    <w:rsid w:val="759D6B9E"/>
    <w:rsid w:val="75E232ED"/>
    <w:rsid w:val="75F957C7"/>
    <w:rsid w:val="76821A92"/>
    <w:rsid w:val="769E4CDE"/>
    <w:rsid w:val="76D86107"/>
    <w:rsid w:val="788545A2"/>
    <w:rsid w:val="793A0096"/>
    <w:rsid w:val="79574507"/>
    <w:rsid w:val="7A0530A7"/>
    <w:rsid w:val="7A393126"/>
    <w:rsid w:val="7ACC2C88"/>
    <w:rsid w:val="7C390EAA"/>
    <w:rsid w:val="7C9C1FAB"/>
    <w:rsid w:val="7CD84C61"/>
    <w:rsid w:val="7D8B6187"/>
    <w:rsid w:val="7DD25296"/>
    <w:rsid w:val="7E101206"/>
    <w:rsid w:val="7E4B3A64"/>
    <w:rsid w:val="7E60462F"/>
    <w:rsid w:val="7E794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2021-01-16T07:26:00Z</dcterms:created>
  <dc:creator>漾</dc:creator>
  <cp:lastModifiedBy>小飞侠</cp:lastModifiedBy>
  <cp:lastPrinted>2021-02-17T02:54:00Z</cp:lastPrinted>
  <dcterms:modified xsi:type="dcterms:W3CDTF">2021-02-24T08:53:03Z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