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p>
      <w:pPr>
        <w:spacing w:line="276" w:lineRule="auto"/>
        <w:jc w:val="center"/>
        <w:rPr>
          <w:rFonts w:hint="eastAsia" w:ascii="黑体" w:hAnsi="黑体" w:eastAsia="黑体"/>
          <w:sz w:val="32"/>
          <w:szCs w:val="32"/>
        </w:rPr>
      </w:pP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开发的课程名称</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趣味数独</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教师姓名</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刘燕、蒋慧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实施对象</w:t>
            </w:r>
          </w:p>
        </w:tc>
        <w:tc>
          <w:tcPr>
            <w:tcW w:w="3060"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六年级学生</w:t>
            </w:r>
          </w:p>
        </w:tc>
        <w:tc>
          <w:tcPr>
            <w:tcW w:w="1635" w:type="dxa"/>
            <w:noWrap w:val="0"/>
            <w:vAlign w:val="center"/>
          </w:tcPr>
          <w:p>
            <w:pPr>
              <w:spacing w:line="276" w:lineRule="auto"/>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班级规模</w:t>
            </w:r>
          </w:p>
        </w:tc>
        <w:tc>
          <w:tcPr>
            <w:tcW w:w="1647" w:type="dxa"/>
            <w:noWrap w:val="0"/>
            <w:vAlign w:val="center"/>
          </w:tcPr>
          <w:p>
            <w:pPr>
              <w:spacing w:line="276" w:lineRule="auto"/>
              <w:jc w:val="center"/>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开发背景</w:t>
            </w:r>
          </w:p>
        </w:tc>
        <w:tc>
          <w:tcPr>
            <w:tcW w:w="6342" w:type="dxa"/>
            <w:gridSpan w:val="3"/>
            <w:noWrap w:val="0"/>
            <w:vAlign w:val="top"/>
          </w:tcPr>
          <w:p>
            <w:pPr>
              <w:spacing w:line="440" w:lineRule="exact"/>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课程目标</w:t>
            </w:r>
          </w:p>
        </w:tc>
        <w:tc>
          <w:tcPr>
            <w:tcW w:w="6342" w:type="dxa"/>
            <w:gridSpan w:val="3"/>
            <w:noWrap w:val="0"/>
            <w:vAlign w:val="top"/>
          </w:tcPr>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1、尊重学生的主体地位和主体人格，培养学生自主性、主动性，引导学生在掌握数学思维成果的过程中学会学习、学会创造。</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2、将数学知识寓于游戏之中，教师适当穿针引线，把单调的数学 过程变为艺术性的游戏活动，让学生在游戏中学习在玩中收获。</w:t>
            </w:r>
          </w:p>
          <w:p>
            <w:pPr>
              <w:ind w:firstLine="450" w:firstLineChars="2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3、课堂上围绕“趣”字，把数学知识容于活动中，使学生在好奇中，在追求答案的过程中提高自己的观察能力，想象能力，分析能力和逻辑推理能力。力求体现我们的智慧秘诀：“做数学，玩数学，学数学”。</w:t>
            </w:r>
          </w:p>
          <w:p>
            <w:pPr>
              <w:spacing w:line="440" w:lineRule="exact"/>
              <w:rPr>
                <w:rFonts w:hint="eastAsia" w:asciiTheme="majorEastAsia" w:hAnsiTheme="majorEastAsia" w:eastAsiaTheme="majorEastAsia" w:cstheme="majorEastAsia"/>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课程内容</w:t>
            </w:r>
          </w:p>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及实施</w:t>
            </w:r>
          </w:p>
        </w:tc>
        <w:tc>
          <w:tcPr>
            <w:tcW w:w="6342" w:type="dxa"/>
            <w:gridSpan w:val="3"/>
            <w:noWrap w:val="0"/>
            <w:vAlign w:val="top"/>
          </w:tcPr>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a)  结合教材，精选小学数学的教学内容，以适应社会发展和进一步学习的需要。力求题材内容生活化，形式多样化，解题思路方程化，教学活动实践化。</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b)  教学内容的选编体现教与学的辨证统一。教学内容呈现以心理学的知识为基础，符合儿童认知性和连续性的统一，使数学知识和技能的掌握与儿童思维发展能力相一致。</w:t>
            </w:r>
          </w:p>
          <w:p>
            <w:pPr>
              <w:ind w:firstLine="360" w:firstLineChars="20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c)  教学内容形式生动活泼，符合学生年龄特点，赋予启发性，趣味性和全面性，可以扩大学生的学习数学的积极性。</w:t>
            </w:r>
          </w:p>
          <w:p>
            <w:pPr>
              <w:ind w:firstLine="270" w:firstLineChars="150"/>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d)  每次数学思维训练课都有中心，有讨论有交流有准备。有阶段性总结和反思。</w:t>
            </w:r>
          </w:p>
          <w:p>
            <w:pPr>
              <w:widowControl/>
              <w:spacing w:line="440" w:lineRule="exact"/>
              <w:rPr>
                <w:rFonts w:hint="eastAsia" w:asciiTheme="majorEastAsia" w:hAnsiTheme="majorEastAsia" w:eastAsiaTheme="majorEastAsia" w:cstheme="majorEastAsia"/>
                <w:b w:val="0"/>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640" w:type="dxa"/>
            <w:noWrap w:val="0"/>
            <w:vAlign w:val="center"/>
          </w:tcPr>
          <w:p>
            <w:pPr>
              <w:jc w:val="center"/>
              <w:rPr>
                <w:rFonts w:hint="eastAsia" w:asciiTheme="majorEastAsia" w:hAnsiTheme="majorEastAsia" w:eastAsiaTheme="majorEastAsia" w:cstheme="majorEastAsia"/>
                <w:b w:val="0"/>
                <w:bCs/>
                <w:sz w:val="18"/>
                <w:szCs w:val="18"/>
              </w:rPr>
            </w:pPr>
            <w:r>
              <w:rPr>
                <w:rFonts w:hint="eastAsia" w:asciiTheme="majorEastAsia" w:hAnsiTheme="majorEastAsia" w:eastAsiaTheme="majorEastAsia" w:cstheme="majorEastAsia"/>
                <w:b w:val="0"/>
                <w:bCs/>
                <w:sz w:val="18"/>
                <w:szCs w:val="18"/>
              </w:rPr>
              <w:t>课程评价</w:t>
            </w:r>
          </w:p>
        </w:tc>
        <w:tc>
          <w:tcPr>
            <w:tcW w:w="6342" w:type="dxa"/>
            <w:gridSpan w:val="3"/>
            <w:noWrap w:val="0"/>
            <w:vAlign w:val="top"/>
          </w:tcPr>
          <w:p>
            <w:pPr>
              <w:pStyle w:val="2"/>
              <w:spacing w:before="0" w:beforeAutospacing="0" w:after="0" w:afterAutospacing="0" w:line="440" w:lineRule="exact"/>
              <w:ind w:firstLine="360" w:firstLineChars="200"/>
              <w:jc w:val="both"/>
              <w:rPr>
                <w:rFonts w:hint="eastAsia" w:asciiTheme="majorEastAsia" w:hAnsiTheme="majorEastAsia" w:eastAsiaTheme="majorEastAsia" w:cstheme="majorEastAsia"/>
                <w:b w:val="0"/>
                <w:bCs/>
                <w:sz w:val="18"/>
                <w:szCs w:val="18"/>
                <w:lang w:val="en-US" w:eastAsia="zh-CN"/>
              </w:rPr>
            </w:pPr>
            <w:r>
              <w:rPr>
                <w:rFonts w:hint="eastAsia" w:asciiTheme="majorEastAsia" w:hAnsiTheme="majorEastAsia" w:eastAsiaTheme="majorEastAsia" w:cstheme="majorEastAsia"/>
                <w:b w:val="0"/>
                <w:bCs/>
                <w:sz w:val="18"/>
                <w:szCs w:val="18"/>
                <w:lang w:val="en-US" w:eastAsia="zh-CN"/>
              </w:rPr>
              <w:t>期末评选优秀社员</w:t>
            </w:r>
          </w:p>
        </w:tc>
      </w:tr>
    </w:tbl>
    <w:p>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宋体" w:hAnsi="宋体"/>
          <w:b/>
          <w:bCs/>
          <w:sz w:val="28"/>
        </w:rPr>
      </w:pP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900" w:type="dxa"/>
            <w:noWrap w:val="0"/>
            <w:vAlign w:val="center"/>
          </w:tcPr>
          <w:p>
            <w:pPr>
              <w:spacing w:line="400" w:lineRule="exact"/>
              <w:jc w:val="center"/>
              <w:rPr>
                <w:rFonts w:hint="eastAsia"/>
                <w:sz w:val="28"/>
                <w:szCs w:val="28"/>
              </w:rPr>
            </w:pPr>
            <w:r>
              <w:rPr>
                <w:rFonts w:hint="eastAsia"/>
                <w:sz w:val="28"/>
                <w:szCs w:val="28"/>
              </w:rPr>
              <w:t>周次</w:t>
            </w:r>
          </w:p>
        </w:tc>
        <w:tc>
          <w:tcPr>
            <w:tcW w:w="6840"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数独的起源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数独基本知识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直观解法（一）单区唯一解法（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单区唯一解法（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行列摒除法（</w:t>
            </w:r>
            <w:r>
              <w:rPr>
                <w:rFonts w:ascii="宋体" w:hAnsi="宋体" w:cs="宋体"/>
                <w:color w:val="000000"/>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唯一解法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区块摒除法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九宫格对列、行的区块摒除（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ascii="宋体" w:hAnsi="宋体" w:cs="宋体"/>
                <w:color w:val="000000"/>
              </w:rPr>
              <w:t>1</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行、列对九宫格的区块摒除（</w:t>
            </w:r>
            <w:r>
              <w:rPr>
                <w:rFonts w:hint="eastAsia" w:ascii="宋体" w:hAnsi="宋体" w:cs="宋体"/>
                <w:color w:val="000000"/>
                <w:lang w:val="en-US" w:eastAsia="zh-CN"/>
              </w:rPr>
              <w:t>2</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color w:val="000000"/>
              </w:rPr>
              <w:t>多重区块摒除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唯余解法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ascii="宋体" w:hAnsi="宋体" w:cs="宋体"/>
              </w:rPr>
              <w:t>1</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ascii="宋体" w:hAnsi="宋体" w:cs="宋体"/>
              </w:rPr>
              <w:t>单元摒除法（</w:t>
            </w:r>
            <w:r>
              <w:rPr>
                <w:rFonts w:hint="eastAsia" w:ascii="宋体" w:hAnsi="宋体" w:cs="宋体"/>
                <w:lang w:val="en-US" w:eastAsia="zh-CN"/>
              </w:rPr>
              <w:t>2</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r>
              <w:rPr>
                <w:rFonts w:hint="eastAsia" w:cs="宋体"/>
                <w:szCs w:val="21"/>
              </w:rPr>
              <w:t>巩固练习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900" w:type="dxa"/>
            <w:noWrap w:val="0"/>
            <w:vAlign w:val="top"/>
          </w:tcPr>
          <w:p>
            <w:pPr>
              <w:spacing w:line="400" w:lineRule="exact"/>
              <w:jc w:val="center"/>
              <w:rPr>
                <w:rFonts w:hint="eastAsia"/>
                <w:sz w:val="28"/>
                <w:szCs w:val="32"/>
              </w:rPr>
            </w:pPr>
          </w:p>
        </w:tc>
        <w:tc>
          <w:tcPr>
            <w:tcW w:w="6840" w:type="dxa"/>
            <w:noWrap w:val="0"/>
            <w:vAlign w:val="top"/>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1680" w:firstLineChars="600"/>
        <w:jc w:val="both"/>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 xml:space="preserve">雕庄中心小学 </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2020--2021</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学年</w:t>
      </w:r>
      <w:r>
        <w:rPr>
          <w:rFonts w:hint="eastAsia" w:asciiTheme="majorEastAsia" w:hAnsiTheme="majorEastAsia" w:eastAsiaTheme="majorEastAsia" w:cstheme="majorEastAsia"/>
          <w:b w:val="0"/>
          <w:bCs w:val="0"/>
          <w:sz w:val="28"/>
          <w:lang w:val="en-US" w:eastAsia="zh-CN"/>
        </w:rPr>
        <w:t>第</w:t>
      </w:r>
      <w:r>
        <w:rPr>
          <w:rFonts w:hint="eastAsia" w:asciiTheme="majorEastAsia" w:hAnsiTheme="majorEastAsia" w:eastAsiaTheme="majorEastAsia" w:cstheme="majorEastAsia"/>
          <w:b w:val="0"/>
          <w:bCs w:val="0"/>
          <w:sz w:val="28"/>
          <w:u w:val="single"/>
          <w:lang w:val="en-US" w:eastAsia="zh-CN"/>
        </w:rPr>
        <w:t>一</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rPr>
        <w:t>学期</w:t>
      </w:r>
    </w:p>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u w:val="single"/>
          <w:lang w:val="en-US" w:eastAsia="zh-CN"/>
        </w:rPr>
        <w:t>趣味数独</w:t>
      </w:r>
      <w:r>
        <w:rPr>
          <w:rFonts w:hint="eastAsia" w:asciiTheme="majorEastAsia" w:hAnsiTheme="majorEastAsia" w:eastAsiaTheme="majorEastAsia" w:cstheme="majorEastAsia"/>
          <w:b w:val="0"/>
          <w:bCs w:val="0"/>
          <w:sz w:val="28"/>
          <w:u w:val="single"/>
        </w:rPr>
        <w:t xml:space="preserve">      </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总结</w:t>
      </w:r>
    </w:p>
    <w:p>
      <w:pPr>
        <w:rPr>
          <w:rFonts w:hint="eastAsia" w:asciiTheme="majorEastAsia" w:hAnsiTheme="majorEastAsia" w:eastAsiaTheme="majorEastAsia" w:cstheme="majorEastAsia"/>
          <w:b w:val="0"/>
          <w:bCs w:val="0"/>
          <w:sz w:val="24"/>
        </w:rPr>
      </w:pPr>
    </w:p>
    <w:p>
      <w:pPr>
        <w:rPr>
          <w:rFonts w:hint="eastAsia" w:asciiTheme="majorEastAsia" w:hAnsiTheme="majorEastAsia" w:eastAsiaTheme="majorEastAsia" w:cstheme="majorEastAsia"/>
          <w:b w:val="0"/>
          <w:bCs w:val="0"/>
        </w:rPr>
      </w:pPr>
      <w:r>
        <w:rPr>
          <w:rFonts w:hint="eastAsia" w:asciiTheme="majorEastAsia" w:hAnsiTheme="majorEastAsia" w:eastAsiaTheme="majorEastAsia" w:cstheme="majorEastAsia"/>
          <w:b w:val="0"/>
          <w:bCs w:val="0"/>
        </w:rPr>
        <w:t xml:space="preserve">                                                   </w:t>
      </w:r>
      <w:r>
        <w:rPr>
          <w:rFonts w:hint="eastAsia" w:asciiTheme="majorEastAsia" w:hAnsiTheme="majorEastAsia" w:eastAsiaTheme="majorEastAsia" w:cstheme="majorEastAsia"/>
          <w:b w:val="0"/>
          <w:bCs w:val="0"/>
          <w:sz w:val="21"/>
          <w:szCs w:val="21"/>
        </w:rPr>
        <w:t>教师：</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21"/>
          <w:szCs w:val="21"/>
          <w:u w:val="single"/>
          <w:lang w:eastAsia="zh-CN"/>
        </w:rPr>
        <w:t>刘燕、蒋慧</w:t>
      </w:r>
      <w:r>
        <w:rPr>
          <w:rFonts w:hint="eastAsia" w:asciiTheme="majorEastAsia" w:hAnsiTheme="majorEastAsia" w:eastAsiaTheme="majorEastAsia" w:cstheme="majorEastAsia"/>
          <w:b w:val="0"/>
          <w:bCs w:val="0"/>
          <w:sz w:val="21"/>
          <w:szCs w:val="21"/>
          <w:u w:val="single"/>
        </w:rPr>
        <w:t xml:space="preserve">        </w:t>
      </w:r>
      <w:r>
        <w:rPr>
          <w:rFonts w:hint="eastAsia" w:asciiTheme="majorEastAsia" w:hAnsiTheme="majorEastAsia" w:eastAsiaTheme="majorEastAsia" w:cstheme="majorEastAsia"/>
          <w:b w:val="0"/>
          <w:bCs w:val="0"/>
          <w:sz w:val="18"/>
          <w:szCs w:val="18"/>
          <w:u w:val="single"/>
        </w:rPr>
        <w:t xml:space="preserve">   </w:t>
      </w:r>
      <w:r>
        <w:rPr>
          <w:rFonts w:hint="eastAsia" w:asciiTheme="majorEastAsia" w:hAnsiTheme="majorEastAsia" w:eastAsiaTheme="majorEastAsia" w:cstheme="majorEastAsia"/>
          <w:b w:val="0"/>
          <w:bCs w:val="0"/>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活动过程中，学生很认真并且积极思考，积极参与，能掌握解数独题的一般方法，可以独立解决一定难度的数独题，同时也在多方面发展了学生：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1、培养了学生的逻辑推理能力。这个游戏涉及到行、列、宫，需要有较强的观察力和逻辑推理能力。</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2、磨砺了学生的意志力。这个游戏对于刚接触的孩子来说是个巨大的挑战，所以要有顽强的意志力。 </w:t>
            </w:r>
          </w:p>
          <w:p>
            <w:pPr>
              <w:spacing w:line="600" w:lineRule="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3、培养了学生的创新意识。在学习解数独的方法以及解数独时他们会进行多次的尝试，在这个过程中他们会有感悟、有收获并大胆地表达自己的想法。 </w:t>
            </w:r>
          </w:p>
          <w:p>
            <w:pPr>
              <w:spacing w:line="600" w:lineRule="auto"/>
              <w:ind w:firstLine="600" w:firstLineChars="200"/>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sz w:val="30"/>
                <w:szCs w:val="30"/>
              </w:rPr>
              <w:t>数独作为益智游戏，它考验着孩子的智慧和毅力并不断加强它们，为学校培养拔尖的学生有一定的帮助。</w:t>
            </w:r>
          </w:p>
          <w:p>
            <w:pPr>
              <w:spacing w:line="600" w:lineRule="auto"/>
              <w:rPr>
                <w:rFonts w:hint="eastAsia" w:asciiTheme="majorEastAsia" w:hAnsiTheme="majorEastAsia" w:eastAsiaTheme="majorEastAsia" w:cstheme="majorEastAsia"/>
                <w:b w:val="0"/>
                <w:bCs w:val="0"/>
                <w:sz w:val="30"/>
                <w:szCs w:val="30"/>
              </w:rPr>
            </w:pPr>
          </w:p>
          <w:p>
            <w:pPr>
              <w:rPr>
                <w:rFonts w:hint="eastAsia" w:asciiTheme="majorEastAsia" w:hAnsiTheme="majorEastAsia" w:eastAsiaTheme="majorEastAsia" w:cstheme="majorEastAsia"/>
                <w:b w:val="0"/>
                <w:bCs w:val="0"/>
              </w:rPr>
            </w:pPr>
          </w:p>
          <w:p>
            <w:pPr>
              <w:rPr>
                <w:rFonts w:hint="eastAsia" w:asciiTheme="majorEastAsia" w:hAnsiTheme="majorEastAsia" w:eastAsiaTheme="majorEastAsia" w:cstheme="majorEastAsia"/>
                <w:b w:val="0"/>
                <w:bCs w:val="0"/>
              </w:rPr>
            </w:pPr>
          </w:p>
        </w:tc>
      </w:tr>
    </w:tbl>
    <w:p>
      <w:pPr>
        <w:jc w:val="center"/>
        <w:rPr>
          <w:rFonts w:hint="eastAsia" w:asciiTheme="majorEastAsia" w:hAnsiTheme="majorEastAsia" w:eastAsiaTheme="majorEastAsia" w:cstheme="majorEastAsia"/>
          <w:b w:val="0"/>
          <w:bCs w:val="0"/>
          <w:sz w:val="28"/>
        </w:rPr>
      </w:pPr>
      <w:r>
        <w:rPr>
          <w:rFonts w:hint="eastAsia" w:asciiTheme="majorEastAsia" w:hAnsiTheme="majorEastAsia" w:eastAsiaTheme="majorEastAsia" w:cstheme="majorEastAsia"/>
          <w:b w:val="0"/>
          <w:bCs w:val="0"/>
          <w:sz w:val="28"/>
        </w:rPr>
        <w:t>请同时将电子稿上传至“学生成长——</w:t>
      </w:r>
      <w:r>
        <w:rPr>
          <w:rFonts w:hint="eastAsia" w:asciiTheme="majorEastAsia" w:hAnsiTheme="majorEastAsia" w:eastAsiaTheme="majorEastAsia" w:cstheme="majorEastAsia"/>
          <w:b w:val="0"/>
          <w:bCs w:val="0"/>
          <w:sz w:val="28"/>
          <w:lang w:eastAsia="zh-CN"/>
        </w:rPr>
        <w:t>校本课程</w:t>
      </w:r>
      <w:r>
        <w:rPr>
          <w:rFonts w:hint="eastAsia" w:asciiTheme="majorEastAsia" w:hAnsiTheme="majorEastAsia" w:eastAsiaTheme="majorEastAsia" w:cstheme="majorEastAsia"/>
          <w:b w:val="0"/>
          <w:bCs w:val="0"/>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6</w:t>
      </w:r>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jc w:val="center"/>
              <w:rPr>
                <w:rFonts w:hint="eastAsia"/>
                <w:sz w:val="28"/>
              </w:rPr>
            </w:pPr>
            <w:r>
              <w:rPr>
                <w:rFonts w:hint="eastAsia"/>
                <w:sz w:val="28"/>
              </w:rPr>
              <w:t>序号</w:t>
            </w:r>
          </w:p>
        </w:tc>
        <w:tc>
          <w:tcPr>
            <w:tcW w:w="900"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六（1）</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董宇涵</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六（4）</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尚婉婷</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六（4）</w:t>
            </w:r>
          </w:p>
        </w:tc>
        <w:tc>
          <w:tcPr>
            <w:tcW w:w="1440"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蒋子康</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eastAsia="宋体"/>
                <w:sz w:val="28"/>
                <w:lang w:eastAsia="zh-CN"/>
              </w:rPr>
            </w:pPr>
            <w:r>
              <w:rPr>
                <w:rFonts w:hint="eastAsia"/>
                <w:sz w:val="21"/>
                <w:szCs w:val="20"/>
                <w:lang w:eastAsia="zh-CN"/>
              </w:rPr>
              <w:t>六（</w:t>
            </w:r>
            <w:r>
              <w:rPr>
                <w:rFonts w:hint="eastAsia"/>
                <w:sz w:val="21"/>
                <w:szCs w:val="20"/>
                <w:lang w:val="en-US" w:eastAsia="zh-CN"/>
              </w:rPr>
              <w:t>3</w:t>
            </w:r>
            <w:r>
              <w:rPr>
                <w:rFonts w:hint="eastAsia"/>
                <w:sz w:val="21"/>
                <w:szCs w:val="20"/>
                <w:lang w:eastAsia="zh-CN"/>
              </w:rPr>
              <w:t>）</w:t>
            </w:r>
          </w:p>
        </w:tc>
        <w:tc>
          <w:tcPr>
            <w:tcW w:w="1440" w:type="dxa"/>
            <w:noWrap w:val="0"/>
            <w:vAlign w:val="top"/>
          </w:tcPr>
          <w:p>
            <w:pPr>
              <w:rPr>
                <w:rFonts w:hint="eastAsia" w:eastAsia="宋体"/>
                <w:sz w:val="28"/>
                <w:lang w:eastAsia="zh-CN"/>
              </w:rPr>
            </w:pPr>
            <w:r>
              <w:rPr>
                <w:rFonts w:hint="eastAsia"/>
                <w:sz w:val="21"/>
                <w:szCs w:val="20"/>
                <w:lang w:eastAsia="zh-CN"/>
              </w:rPr>
              <w:t>林威</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eastAsia="宋体"/>
                <w:sz w:val="21"/>
                <w:szCs w:val="21"/>
                <w:lang w:eastAsia="zh-CN"/>
              </w:rPr>
            </w:pPr>
            <w:r>
              <w:rPr>
                <w:rFonts w:hint="eastAsia"/>
                <w:sz w:val="21"/>
                <w:szCs w:val="21"/>
                <w:lang w:eastAsia="zh-CN"/>
              </w:rPr>
              <w:t>六（</w:t>
            </w:r>
            <w:r>
              <w:rPr>
                <w:rFonts w:hint="eastAsia"/>
                <w:sz w:val="21"/>
                <w:szCs w:val="21"/>
                <w:lang w:val="en-US" w:eastAsia="zh-CN"/>
              </w:rPr>
              <w:t>2</w:t>
            </w:r>
            <w:r>
              <w:rPr>
                <w:rFonts w:hint="eastAsia"/>
                <w:sz w:val="21"/>
                <w:szCs w:val="21"/>
                <w:lang w:eastAsia="zh-CN"/>
              </w:rPr>
              <w:t>）</w:t>
            </w:r>
          </w:p>
        </w:tc>
        <w:tc>
          <w:tcPr>
            <w:tcW w:w="1440" w:type="dxa"/>
            <w:noWrap w:val="0"/>
            <w:vAlign w:val="top"/>
          </w:tcPr>
          <w:p>
            <w:pPr>
              <w:rPr>
                <w:rFonts w:hint="eastAsia" w:eastAsia="宋体"/>
                <w:sz w:val="21"/>
                <w:szCs w:val="21"/>
                <w:lang w:eastAsia="zh-CN"/>
              </w:rPr>
            </w:pPr>
            <w:r>
              <w:rPr>
                <w:rFonts w:hint="eastAsia"/>
                <w:sz w:val="21"/>
                <w:szCs w:val="21"/>
                <w:lang w:eastAsia="zh-CN"/>
              </w:rPr>
              <w:t>汪超</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eastAsia="宋体"/>
                <w:sz w:val="21"/>
                <w:szCs w:val="21"/>
                <w:lang w:eastAsia="zh-CN"/>
              </w:rPr>
            </w:pPr>
            <w:r>
              <w:rPr>
                <w:rFonts w:hint="eastAsia"/>
                <w:sz w:val="21"/>
                <w:szCs w:val="21"/>
                <w:lang w:eastAsia="zh-CN"/>
              </w:rPr>
              <w:t>六（</w:t>
            </w:r>
            <w:r>
              <w:rPr>
                <w:rFonts w:hint="eastAsia"/>
                <w:sz w:val="21"/>
                <w:szCs w:val="21"/>
                <w:lang w:val="en-US" w:eastAsia="zh-CN"/>
              </w:rPr>
              <w:t>3</w:t>
            </w:r>
            <w:r>
              <w:rPr>
                <w:rFonts w:hint="eastAsia"/>
                <w:sz w:val="21"/>
                <w:szCs w:val="21"/>
                <w:lang w:eastAsia="zh-CN"/>
              </w:rPr>
              <w:t>）</w:t>
            </w:r>
          </w:p>
        </w:tc>
        <w:tc>
          <w:tcPr>
            <w:tcW w:w="1440" w:type="dxa"/>
            <w:noWrap w:val="0"/>
            <w:vAlign w:val="top"/>
          </w:tcPr>
          <w:p>
            <w:pPr>
              <w:rPr>
                <w:rFonts w:hint="eastAsia" w:eastAsia="宋体"/>
                <w:sz w:val="21"/>
                <w:szCs w:val="21"/>
                <w:lang w:eastAsia="zh-CN"/>
              </w:rPr>
            </w:pPr>
            <w:r>
              <w:rPr>
                <w:rFonts w:hint="eastAsia"/>
                <w:sz w:val="21"/>
                <w:szCs w:val="21"/>
                <w:lang w:eastAsia="zh-CN"/>
              </w:rPr>
              <w:t>陈若涵</w:t>
            </w:r>
          </w:p>
        </w:tc>
        <w:tc>
          <w:tcPr>
            <w:tcW w:w="5606" w:type="dxa"/>
            <w:noWrap w:val="0"/>
            <w:vAlign w:val="top"/>
          </w:tcPr>
          <w:p>
            <w:pPr>
              <w:rPr>
                <w:rFonts w:hint="eastAsia"/>
                <w:sz w:val="28"/>
              </w:rPr>
            </w:pPr>
            <w:r>
              <w:rPr>
                <w:rFonts w:hint="eastAsia" w:asciiTheme="majorEastAsia" w:hAnsiTheme="majorEastAsia" w:eastAsiaTheme="majorEastAsia" w:cstheme="majorEastAsia"/>
                <w:sz w:val="21"/>
                <w:szCs w:val="21"/>
                <w:lang w:val="en-US" w:eastAsia="zh-CN"/>
              </w:rPr>
              <w:t>社团活动表现好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bookmarkStart w:id="0" w:name="_GoBack"/>
            <w:bookmarkEnd w:id="0"/>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pPr>
              <w:rPr>
                <w:rFonts w:hint="eastAsia"/>
                <w:sz w:val="28"/>
              </w:rPr>
            </w:pPr>
          </w:p>
        </w:tc>
        <w:tc>
          <w:tcPr>
            <w:tcW w:w="900"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val="en-US" w:eastAsia="zh-CN"/>
        </w:rPr>
        <w:t>发展策划部</w:t>
      </w:r>
      <w:r>
        <w:rPr>
          <w:rFonts w:hint="eastAsia"/>
          <w:sz w:val="28"/>
        </w:rPr>
        <w:t>提供</w:t>
      </w:r>
      <w:r>
        <w:rPr>
          <w:rFonts w:hint="eastAsia"/>
          <w:sz w:val="28"/>
          <w:lang w:val="en-US" w:eastAsia="zh-CN"/>
        </w:rPr>
        <w:t>奖</w:t>
      </w:r>
      <w:r>
        <w:rPr>
          <w:rFonts w:hint="eastAsia"/>
          <w:sz w:val="28"/>
        </w:rPr>
        <w:t>状。</w:t>
      </w:r>
    </w:p>
    <w:p>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477C"/>
    <w:rsid w:val="02E4467E"/>
    <w:rsid w:val="096C2474"/>
    <w:rsid w:val="5D89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2021-01-13T11:47:00Z</dcterms:created>
  <dc:creator>Administrator</dc:creator>
  <cp:lastModifiedBy>米修米修</cp:lastModifiedBy>
  <dcterms:modified xsi:type="dcterms:W3CDTF">2021-01-15T09:00:58Z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