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26262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  <w:t>附件2：</w:t>
      </w:r>
    </w:p>
    <w:tbl>
      <w:tblPr>
        <w:tblStyle w:val="2"/>
        <w:tblW w:w="9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091"/>
        <w:gridCol w:w="2484"/>
        <w:gridCol w:w="712"/>
        <w:gridCol w:w="1013"/>
        <w:gridCol w:w="150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525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2021年双节困难职工慰问情况申请表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本人每月收入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家庭每月收入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345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</w:trPr>
        <w:tc>
          <w:tcPr>
            <w:tcW w:w="227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家庭困难情况说明</w:t>
            </w:r>
          </w:p>
        </w:tc>
        <w:tc>
          <w:tcPr>
            <w:tcW w:w="7254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9525" w:type="dxa"/>
            <w:gridSpan w:val="7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联系电话：                 填表日期：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备注：1、请在“家庭经济困难的主要原因”一栏详细填写至困原因。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2943"/>
    <w:rsid w:val="670B2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2021-01-12T02:06:00Z</dcterms:created>
  <dc:creator>秋雨潇潇</dc:creator>
  <cp:lastModifiedBy>秋雨潇潇</cp:lastModifiedBy>
  <dcterms:modified xsi:type="dcterms:W3CDTF">2021-01-12T02:07:01Z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