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常州市新北区陈亚兰特级班主任成长营年度考核（部分）材料目录</w:t>
      </w:r>
      <w:r>
        <w:rPr>
          <w:rFonts w:hint="eastAsia"/>
          <w:b/>
          <w:bCs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考核时间：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2020.1</w:t>
      </w:r>
    </w:p>
    <w:tbl>
      <w:tblPr>
        <w:tblStyle w:val="2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1384" w:type="dxa"/>
            <w:noWrap w:val="0"/>
            <w:vAlign w:val="center"/>
          </w:tcPr>
          <w:p>
            <w:pPr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"/>
                <w:szCs w:val="21"/>
              </w:rPr>
              <w:t>评价指标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     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评价内容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A1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基础性指标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见网页。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" w:eastAsiaTheme="minorEastAsia"/>
                <w:szCs w:val="21"/>
                <w:lang w:eastAsia="zh-CN"/>
              </w:rPr>
            </w:pPr>
            <w:r>
              <w:rPr>
                <w:rFonts w:ascii="宋体" w:hAnsi="宋体" w:cs="仿宋"/>
                <w:szCs w:val="21"/>
              </w:rPr>
              <w:t>A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  <w:p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影响力</w:t>
            </w:r>
            <w:r>
              <w:rPr>
                <w:rFonts w:hint="eastAsia" w:ascii="宋体" w:hAnsi="宋体" w:cs="仿宋"/>
                <w:szCs w:val="21"/>
              </w:rPr>
              <w:t>指标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B7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成长营领衔人、成员作区级以上德育工作经验介绍或专题讲座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省级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以上讲座2次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仿宋"/>
                <w:szCs w:val="21"/>
              </w:rPr>
              <w:t>级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讲座12次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B8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成长营经验在区级以上报刊、电视台等官方媒体平台进行宣传报道，</w:t>
            </w:r>
          </w:p>
          <w:p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官方网络媒体平台（除三名工程网站）报道，按一半计分。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省级杂志2次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常州手机台宣传1次、晚报2次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省级以上网络平台 8次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市级网络平台1次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新北教育9次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42-51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A4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发展性指标</w:t>
            </w: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B10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个人荣誉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市级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荣誉7人次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52-59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区级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荣誉7人次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60-66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B11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德育论文发表：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省级以上刊物发表  10篇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67-91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市级论文获奖二等奖1篇，三等奖2篇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92-95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B12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德育项目（课题）研究：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省级课题：红领巾假日玩伴团的建设研究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96-97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市级课题：重建学生课外生活：学生假日玩伴团活动的研究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98-100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区级课题：基于学生成长需求的班本活动课程的实践研究</w:t>
            </w:r>
          </w:p>
          <w:p>
            <w:pPr>
              <w:spacing w:line="300" w:lineRule="exac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整合融通理念下的学生发展研究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101-107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B13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班主任基本功、班队评优课</w:t>
            </w:r>
            <w:r>
              <w:rPr>
                <w:rFonts w:hint="eastAsia" w:ascii="宋体" w:hAnsi="宋体" w:cs="仿宋"/>
                <w:szCs w:val="21"/>
              </w:rPr>
              <w:t>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市基本功：二等奖1人次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公开课：市级2人次、区级7人次</w:t>
            </w:r>
            <w:bookmarkStart w:id="0" w:name="_GoBack"/>
            <w:bookmarkEnd w:id="0"/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119-120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班队评优课：区一等奖12人次，二等奖5人次。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121-137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B14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所带班团队集体获德育类荣誉：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主管德育条线获得团体荣誉：市级5人次，区级1人次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138-144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区级班集体荣誉：5人次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145-148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B15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满意度测评：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成员满意度测评表12份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149-160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b/>
                <w:bCs/>
                <w:szCs w:val="21"/>
              </w:rPr>
              <w:t>B16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名班主任称号晋升：每晋升一级可加分，市级</w:t>
            </w:r>
            <w:r>
              <w:rPr>
                <w:rFonts w:ascii="宋体" w:hAnsi="宋体" w:cs="仿宋"/>
                <w:b/>
                <w:bCs/>
                <w:szCs w:val="21"/>
              </w:rPr>
              <w:t>8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分，区级</w:t>
            </w:r>
            <w:r>
              <w:rPr>
                <w:rFonts w:ascii="宋体" w:hAnsi="宋体" w:cs="仿宋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分。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市高级班主任2人次（一人从无到高级，一人从市骨干到市高级）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161-162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区高级1人，区特级1人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163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7F68"/>
    <w:rsid w:val="0E0F2A63"/>
    <w:rsid w:val="2DCF3D35"/>
    <w:rsid w:val="64DE7F68"/>
    <w:rsid w:val="73097299"/>
    <w:rsid w:val="7E4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2021-01-08T05:36:00Z</dcterms:created>
  <dc:creator>陈蓦</dc:creator>
  <cp:lastModifiedBy>陈蓦</cp:lastModifiedBy>
  <dcterms:modified xsi:type="dcterms:W3CDTF">2021-01-08T11:00:53Z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