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积蓄能量  拔节生长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single"/>
          <w:vertAlign w:val="baseline"/>
          <w:lang w:val="en-US" w:eastAsia="zh-CN"/>
        </w:rPr>
        <w:t xml:space="preserve">      巢荷芬 (个人）三年</w:t>
      </w:r>
      <w:r>
        <w:rPr>
          <w:rFonts w:hint="eastAsia"/>
          <w:sz w:val="24"/>
          <w:szCs w:val="24"/>
          <w:vertAlign w:val="baseline"/>
          <w:lang w:val="en-US" w:eastAsia="zh-CN"/>
        </w:rPr>
        <w:t>成长规划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一、自我发现</w:t>
            </w:r>
          </w:p>
        </w:tc>
        <w:tc>
          <w:tcPr>
            <w:tcW w:w="7823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  <w:t>优势：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1、喜爱教育工作，虚心好学，能以充沛的精力，严谨、认真、踏实的工作态度投入到各项工作中。亲和力强，情感细腻，心思缜密，对学生心理状态的把握比较准确，愿意同孩子一同进步，一同成长，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在长期的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班主任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工作中，对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低年级班级管理以及低年级学生养成习惯培养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积累了一些教学经验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，对家长进课堂活动进行过探索。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textAlignment w:val="auto"/>
              <w:rPr>
                <w:rFonts w:hint="default" w:ascii="楷体" w:hAnsi="楷体" w:eastAsia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3、根据学校安排每月对年级的主题活动进行策划及实施，积累了一些经验。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潜势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00" w:firstLineChars="200"/>
              <w:textAlignment w:val="auto"/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  <w:t>班主任工作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的理论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  <w:t>修养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有待提高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  <w:t>，班级管理及活动的创新能力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不够，固有的思维约束着自己。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00" w:firstLineChars="200"/>
              <w:textAlignment w:val="auto"/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2、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  <w:t>班级活动开展的长程性、系统性、序列性、创新性不够，没有形成自己的班级管理特色。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00" w:firstLineChars="2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、没有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  <w:t>参与德育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研究课题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  <w:lang w:eastAsia="zh-CN"/>
              </w:rPr>
              <w:t>，反思总结的能力不够，班主任管理论文及案例的撰写能力有待培养</w:t>
            </w:r>
            <w:r>
              <w:rPr>
                <w:rFonts w:hint="eastAsia" w:ascii="楷体" w:hAnsi="楷体" w:eastAsia="楷体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二、目标定位</w:t>
            </w:r>
          </w:p>
        </w:tc>
        <w:tc>
          <w:tcPr>
            <w:tcW w:w="78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2021年申报常州市高级班主任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2022年申报常州市特级班主任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三、未达条件</w:t>
            </w:r>
          </w:p>
        </w:tc>
        <w:tc>
          <w:tcPr>
            <w:tcW w:w="7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、具有精湛的教育艺术、鲜明的班主任工作特色，在培养学生品格、创新精神、实践能力、责任意识等方面经验丰富，成效显著。有一套体系完整、特色鲜明的班级建设实施方案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2、参与课题研究组活动，并有阶段性成果。有10篇以上质量较高的班主任工作日志（心得、案例），有2篇德育类论文（案例）在市级及以上获奖或公开刊物上发表。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3、积极承担区、市级及以上班主任培训与指导工作，通过德育示范课、专题讲座、经验交流、工作论坛等形式，带动市区班主任专业成长。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4、五年级内一次年度考核“优秀”。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四、成长策略</w:t>
            </w:r>
          </w:p>
        </w:tc>
        <w:tc>
          <w:tcPr>
            <w:tcW w:w="7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1、加强理论学习，丰富理念。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2、立足班级管理，形成特色。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3、开展课题研究，发展能力。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4、借力成长营活动，拔节生长。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五、自我评价</w:t>
            </w:r>
          </w:p>
        </w:tc>
        <w:tc>
          <w:tcPr>
            <w:tcW w:w="78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1、坚持每月读一本教育类的专著，写好读书心得。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2、对班级建设进行长程规划、精心实施，力争能形成自己班级的特色。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3、积极参加成长营的每一次的活动，虚心向其他成员学习，积极展示自己，争取每学年有1次班级活动展示。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4、积极参与课题研究，尝试微课题的研究，积极撰写论文，每学期争取写一篇高质量的论文或案例，争取获奖或发表。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新北区陈亚兰特级班主任成长营 营员个人三年成长规划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7BDC"/>
    <w:rsid w:val="4C741362"/>
    <w:rsid w:val="4D8074A6"/>
    <w:rsid w:val="4D907BDC"/>
    <w:rsid w:val="618309C0"/>
    <w:rsid w:val="66BC60E9"/>
    <w:rsid w:val="7E1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2020-03-23T02:28:00Z</dcterms:created>
  <dc:creator>陈蓦</dc:creator>
  <cp:lastModifiedBy>陈蓦</cp:lastModifiedBy>
  <dcterms:modified xsi:type="dcterms:W3CDTF">2021-01-04T14:43:21Z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