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2020.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6.15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黄新恬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《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t>陶行知文集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读书笔记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行是知之始，知是行之成-----教育有广度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行知先生一生研究教育，极具辩证思维，改良杜威的“教育即生活”“学校即社会”的观点为“生活即教育、社会即学校”，将生活教育的视野无限拓宽；秉承王阳明的“知是行之始，行是知之成”思想，更替为“行是知之始，知是行之成”；为表决心和诚意，更是把自己的名字由“知行”更为“行知”。陶行知先生告诫我们，出世便是破蒙，进棺材才算毕业；先生的责任不在教，而在教学，而在教学生学；智慧老师，不让活泼的孩子只做个书架子，普通人的教育从耳朵进来，从嘴巴出去，耳朵和嘴巴的距离，只有四英尺，那怎么能行？我们要教知识，而不是死读书、读死书、读书死。我深以为然，想想自己小时候，在农村长大，土里生，土里长，一边在庄稼地里干着农活，一边在简陋的教学环境里学习，在家里剁鸡食喂鸡、搅拌猪食养猪，在田里学着耕地、播种、施肥、拔草、收割，样样参与，所以六零后、七零后们有更多体验机会，有丰富的观察能力和超强的动手能力，真乃社会即学校，生活即教育。反观现在的独生子女，四体不勤，五谷不分，只因为参与社会体验的机会少，家务被父母包办，与陶先生倡导相违背。书中可见行知先生非常注重学生动手实验，对爱迪生的发明多次鼓励提倡。他去修表，要收费1元6角，便有一条件：在拆开的时候，领我的小孩子们来看你拆，于是乎他的孩子们学会了修表，拆表，做中学。想到自己曾经任教过科学课时的幸福时光：带领孩子一起探索鹅卵石的圆润秘密、用土豆泥和酒精灯探究火山爆发的奥秘、观察北斗七星斗柄在四季中的不同指向、思考脚底花纹有何作用……孩子们那跃跃欲试的场景历历在目，试验成功后、欢愉雀跃，失败后不断再尝试，体验到科学探究的乐趣，实践中长知识，懂道理。陶行知让我懂得，只有生活与生活摩擦，才能通出教育的电流，折射出七彩之光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千教万教教人求真，千学万学学做真人——教育有深度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“千教万教教人求真，千学万学学做真人”是我最先知晓的行知名句。教学做合一是陶行知先生倡导的生活教育理论，我们要在做上教，在做上学，做上教的是先生，在做上学的是学生。每天四次叩问自己的魂灵：我的身体有没有进步？我的学问有没有进步？我的工作有没有进步？我的道德有没有进步？教育是一种行动，更要做到学做合一。对于教员作弊、给学生考试范围，容忍考生交头接耳、纸球四飞的现象，陶行知是深恶痛绝的。他是这样说的，也是这样做的。他给陶晓光的一封信中说：“宁为真白丁，不作假秀才，宁肯白干，也不要做假。”这令我动容，郝颜不已。上高三的儿子马上要进行结业考试，我曾对儿子存有忧虑，唯恐考试挂科影响毕业，希望他考试时能有机会偷看一下别人的试卷，以确保顺利过关。可是这又与平时教导孩子不要作弊的做法相悖。纠结中，陶老先生给我上了生动的一课，教师莫做说话的巨人，行动的矮子，为人师表就是万世的楷模，切莫言行不一致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t>回归教育的初心，才能探寻教育的真谛。</w:t>
            </w:r>
            <w:bookmarkStart w:id="0" w:name="_GoBack"/>
            <w:bookmarkEnd w:id="0"/>
          </w:p>
          <w:p>
            <w:pPr>
              <w:widowControl/>
              <w:spacing w:before="156" w:beforeLines="50" w:after="312" w:afterLines="100" w:line="380" w:lineRule="exact"/>
              <w:ind w:firstLine="330" w:firstLineChars="1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D5C18"/>
    <w:rsid w:val="1BBF78ED"/>
    <w:rsid w:val="3E7E6EB8"/>
    <w:rsid w:val="3FED5C18"/>
    <w:rsid w:val="DFD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2021-01-03T22:31:00Z</dcterms:created>
  <dc:creator>huangxintian</dc:creator>
  <cp:lastModifiedBy>huangxintian</cp:lastModifiedBy>
  <dcterms:modified xsi:type="dcterms:W3CDTF">2021-01-03T22:46:12Z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