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59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sz w:val="28"/>
                <w:szCs w:val="28"/>
                <w:lang w:eastAsia="zh-CN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红烧鸡腿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如意菜肉丝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红烧狮子头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莴苣炒蛋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三丝包菜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西芹炒蛋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清炒毛白菜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咖喱肉丁盖浇饭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上校鸡块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熊包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番茄肉丝鸡蛋羹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红烧鸡腿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如意菜肉丝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黄豆芽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 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胡萝卜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干木耳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3"/>
        <w:gridCol w:w="708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红烧狮子头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莴苣炒蛋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三丝包菜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豆腐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百叶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豆渣饼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12月30日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酱汁鸭块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鸭块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西芹炒蛋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草鸡蛋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1"/>
                <w:lang w:val="en-US" w:eastAsia="zh-CN"/>
              </w:rPr>
              <w:t>清炒毛白菜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紫菜蛋汤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numId w:val="0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12月31日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咖喱肉丁盖浇饭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胡萝卜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土豆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50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肉丁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上校鸡块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鸡块 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熊 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熊包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番茄肉丝鸡蛋羹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肉丝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干木耳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十二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二十六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7F1B2A"/>
    <w:rsid w:val="0DCF0EAA"/>
    <w:rsid w:val="0DFF1BAC"/>
    <w:rsid w:val="0EEF1EDD"/>
    <w:rsid w:val="0F2B611E"/>
    <w:rsid w:val="11E60E1C"/>
    <w:rsid w:val="128D724E"/>
    <w:rsid w:val="134A6182"/>
    <w:rsid w:val="15637BD3"/>
    <w:rsid w:val="15ED3599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9657DE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6762389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D502E3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2020-12-25T05:12:23Z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