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《</w:t>
      </w:r>
      <w:r>
        <w:rPr>
          <w:rFonts w:hint="eastAsia"/>
          <w:sz w:val="36"/>
          <w:szCs w:val="36"/>
        </w:rPr>
        <w:t>初中语文审美化教育研究</w:t>
      </w:r>
      <w:r>
        <w:rPr>
          <w:rFonts w:hint="eastAsia" w:ascii="宋体" w:hAnsi="宋体"/>
          <w:sz w:val="36"/>
          <w:szCs w:val="36"/>
        </w:rPr>
        <w:t>》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课题组成员理论学习笔记</w:t>
      </w:r>
    </w:p>
    <w:tbl>
      <w:tblPr>
        <w:tblStyle w:val="2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18"/>
        <w:gridCol w:w="1112"/>
        <w:gridCol w:w="1249"/>
        <w:gridCol w:w="140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1" w:hRule="atLeast"/>
        </w:trPr>
        <w:tc>
          <w:tcPr>
            <w:tcW w:w="1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姓名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柯春燕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时间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0"/>
                <w:szCs w:val="36"/>
                <w:lang w:val="en-US" w:eastAsia="zh-CN"/>
              </w:rPr>
            </w:pPr>
            <w:r>
              <w:rPr>
                <w:rFonts w:hint="eastAsia"/>
                <w:sz w:val="30"/>
                <w:szCs w:val="36"/>
              </w:rPr>
              <w:t>20</w:t>
            </w:r>
            <w:r>
              <w:rPr>
                <w:rFonts w:hint="eastAsia"/>
                <w:sz w:val="30"/>
                <w:szCs w:val="36"/>
                <w:lang w:val="en-US" w:eastAsia="zh-CN"/>
              </w:rPr>
              <w:t>20</w:t>
            </w:r>
            <w:r>
              <w:rPr>
                <w:rFonts w:hint="eastAsia"/>
                <w:sz w:val="30"/>
                <w:szCs w:val="36"/>
              </w:rPr>
              <w:t>.</w:t>
            </w:r>
            <w:r>
              <w:rPr>
                <w:rFonts w:hint="eastAsia"/>
                <w:sz w:val="30"/>
                <w:szCs w:val="36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4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地点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0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7" w:hRule="atLeast"/>
        </w:trPr>
        <w:tc>
          <w:tcPr>
            <w:tcW w:w="1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内容</w:t>
            </w:r>
          </w:p>
        </w:tc>
        <w:tc>
          <w:tcPr>
            <w:tcW w:w="7041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600" w:firstLineChars="200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在语文教学中培养学生的审美感知力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03" w:hRule="atLeast"/>
        </w:trPr>
        <w:tc>
          <w:tcPr>
            <w:tcW w:w="1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学习目的</w:t>
            </w:r>
          </w:p>
        </w:tc>
        <w:tc>
          <w:tcPr>
            <w:tcW w:w="704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初中语文审美化教育研究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357" w:hRule="atLeast"/>
        </w:trPr>
        <w:tc>
          <w:tcPr>
            <w:tcW w:w="1615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主    要    内    容</w:t>
            </w:r>
          </w:p>
        </w:tc>
        <w:tc>
          <w:tcPr>
            <w:tcW w:w="7041" w:type="dxa"/>
            <w:gridSpan w:val="5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审美感知是指审美感觉和审美知觉，是审美主体对于能够引起心理愉悦的事物完整形象的反映。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1、教师要精心创设与教学内容相吻合的教学情境。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2、在教学活动中教师的语言美是创设美的氛围的重要因素。</w:t>
            </w:r>
          </w:p>
          <w:p>
            <w:pPr>
              <w:ind w:left="480" w:hanging="480" w:hanging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3、动情美读，是学生感知教材的主要方式和途径，也是进行审美教育的途径之一。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倡吟诵。②注重语感。</w:t>
            </w:r>
          </w:p>
          <w:p>
            <w:pPr>
              <w:ind w:left="360"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审美感知力是审美主体全部审美过程的第一步，学生审美感知力的培养离不开课堂上美的氛围和对教材的动情美读。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000" w:hRule="atLeast"/>
        </w:trPr>
        <w:tc>
          <w:tcPr>
            <w:tcW w:w="1615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学习体会</w:t>
            </w:r>
          </w:p>
        </w:tc>
        <w:tc>
          <w:tcPr>
            <w:tcW w:w="7041" w:type="dxa"/>
            <w:gridSpan w:val="5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主体感知客体，实际上是生命与生命的对接。只有学生自身的生命与课文所体现的作者的生命开始对接，与作品中的主体的生命开始对接，才真正开始了审美的过程。审美教育方能取得事半功倍的效果。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0654"/>
    <w:multiLevelType w:val="multilevel"/>
    <w:tmpl w:val="2A78065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FF"/>
    <w:rsid w:val="000574FB"/>
    <w:rsid w:val="001D2996"/>
    <w:rsid w:val="00692E3D"/>
    <w:rsid w:val="00877AE3"/>
    <w:rsid w:val="00A11DFF"/>
    <w:rsid w:val="00D607BB"/>
    <w:rsid w:val="0D3B7B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2017-12-07T12:54:00Z</dcterms:created>
  <dc:creator>Windows 7</dc:creator>
  <cp:lastModifiedBy>Administrator</cp:lastModifiedBy>
  <dcterms:modified xsi:type="dcterms:W3CDTF">2020-12-17T06:44:50Z</dcterms:modified>
  <dc:title>《新课标背景下初中音乐有效自主学习的策略研究》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