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溧阳市教科研课题研究活动情况登记表</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60"/>
        <w:gridCol w:w="1260"/>
        <w:gridCol w:w="1260"/>
        <w:gridCol w:w="1080"/>
        <w:gridCol w:w="926"/>
        <w:gridCol w:w="74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60" w:type="dxa"/>
            <w:shd w:val="clear" w:color="auto" w:fill="auto"/>
            <w:noWrap w:val="0"/>
            <w:vAlign w:val="center"/>
          </w:tcPr>
          <w:p>
            <w:pPr>
              <w:jc w:val="center"/>
              <w:rPr>
                <w:rFonts w:hint="eastAsia"/>
                <w:sz w:val="24"/>
              </w:rPr>
            </w:pPr>
            <w:r>
              <w:rPr>
                <w:rFonts w:hint="eastAsia"/>
                <w:sz w:val="24"/>
              </w:rPr>
              <w:t>时间</w:t>
            </w:r>
          </w:p>
        </w:tc>
        <w:tc>
          <w:tcPr>
            <w:tcW w:w="1260" w:type="dxa"/>
            <w:shd w:val="clear" w:color="auto" w:fill="auto"/>
            <w:noWrap w:val="0"/>
            <w:vAlign w:val="center"/>
          </w:tcPr>
          <w:p>
            <w:pPr>
              <w:jc w:val="center"/>
              <w:rPr>
                <w:rFonts w:hint="eastAsia"/>
                <w:sz w:val="24"/>
              </w:r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9</w:t>
            </w:r>
            <w:r>
              <w:rPr>
                <w:rFonts w:hint="eastAsia"/>
                <w:sz w:val="24"/>
              </w:rPr>
              <w:t>月1</w:t>
            </w:r>
            <w:r>
              <w:rPr>
                <w:rFonts w:hint="eastAsia"/>
                <w:sz w:val="24"/>
                <w:lang w:val="en-US" w:eastAsia="zh-CN"/>
              </w:rPr>
              <w:t>5</w:t>
            </w:r>
            <w:r>
              <w:rPr>
                <w:rFonts w:hint="eastAsia"/>
                <w:sz w:val="24"/>
              </w:rPr>
              <w:t>日</w:t>
            </w:r>
          </w:p>
        </w:tc>
        <w:tc>
          <w:tcPr>
            <w:tcW w:w="1260" w:type="dxa"/>
            <w:shd w:val="clear" w:color="auto" w:fill="auto"/>
            <w:noWrap w:val="0"/>
            <w:vAlign w:val="center"/>
          </w:tcPr>
          <w:p>
            <w:pPr>
              <w:jc w:val="center"/>
              <w:rPr>
                <w:rFonts w:hint="eastAsia"/>
                <w:sz w:val="24"/>
              </w:rPr>
            </w:pPr>
            <w:r>
              <w:rPr>
                <w:rFonts w:hint="eastAsia"/>
                <w:sz w:val="24"/>
              </w:rPr>
              <w:t>地点</w:t>
            </w:r>
          </w:p>
        </w:tc>
        <w:tc>
          <w:tcPr>
            <w:tcW w:w="1260" w:type="dxa"/>
            <w:shd w:val="clear" w:color="auto" w:fill="auto"/>
            <w:noWrap w:val="0"/>
            <w:vAlign w:val="center"/>
          </w:tcPr>
          <w:p>
            <w:pPr>
              <w:jc w:val="center"/>
              <w:rPr>
                <w:rFonts w:hint="eastAsia" w:eastAsia="宋体"/>
                <w:sz w:val="24"/>
                <w:lang w:eastAsia="zh-CN"/>
              </w:rPr>
            </w:pPr>
            <w:r>
              <w:rPr>
                <w:rFonts w:hint="eastAsia"/>
                <w:sz w:val="24"/>
                <w:lang w:val="en-US" w:eastAsia="zh-CN"/>
              </w:rPr>
              <w:t>新北区</w:t>
            </w:r>
          </w:p>
        </w:tc>
        <w:tc>
          <w:tcPr>
            <w:tcW w:w="1080" w:type="dxa"/>
            <w:shd w:val="clear" w:color="auto" w:fill="auto"/>
            <w:noWrap w:val="0"/>
            <w:vAlign w:val="center"/>
          </w:tcPr>
          <w:p>
            <w:pPr>
              <w:jc w:val="center"/>
              <w:rPr>
                <w:rFonts w:hint="eastAsia"/>
                <w:sz w:val="24"/>
              </w:rPr>
            </w:pPr>
            <w:r>
              <w:rPr>
                <w:rFonts w:hint="eastAsia"/>
                <w:sz w:val="24"/>
              </w:rPr>
              <w:t>参加对象及应到人数</w:t>
            </w:r>
          </w:p>
        </w:tc>
        <w:tc>
          <w:tcPr>
            <w:tcW w:w="926" w:type="dxa"/>
            <w:shd w:val="clear" w:color="auto" w:fill="auto"/>
            <w:noWrap w:val="0"/>
            <w:vAlign w:val="center"/>
          </w:tcPr>
          <w:p>
            <w:pPr>
              <w:jc w:val="center"/>
              <w:rPr>
                <w:rFonts w:hint="eastAsia"/>
                <w:sz w:val="24"/>
              </w:rPr>
            </w:pPr>
            <w:r>
              <w:rPr>
                <w:rFonts w:hint="eastAsia"/>
                <w:sz w:val="24"/>
                <w:lang w:val="en-US" w:eastAsia="zh-CN"/>
              </w:rPr>
              <w:t>11</w:t>
            </w:r>
            <w:r>
              <w:rPr>
                <w:rFonts w:hint="eastAsia"/>
                <w:sz w:val="24"/>
              </w:rPr>
              <w:t>人</w:t>
            </w:r>
          </w:p>
        </w:tc>
        <w:tc>
          <w:tcPr>
            <w:tcW w:w="747" w:type="dxa"/>
            <w:shd w:val="clear" w:color="auto" w:fill="auto"/>
            <w:noWrap w:val="0"/>
            <w:vAlign w:val="center"/>
          </w:tcPr>
          <w:p>
            <w:pPr>
              <w:jc w:val="center"/>
              <w:rPr>
                <w:rFonts w:hint="eastAsia"/>
                <w:sz w:val="24"/>
              </w:rPr>
            </w:pPr>
            <w:r>
              <w:rPr>
                <w:rFonts w:hint="eastAsia"/>
                <w:sz w:val="24"/>
              </w:rPr>
              <w:t>实到人数</w:t>
            </w:r>
          </w:p>
        </w:tc>
        <w:tc>
          <w:tcPr>
            <w:tcW w:w="801" w:type="dxa"/>
            <w:shd w:val="clear" w:color="auto" w:fill="auto"/>
            <w:noWrap w:val="0"/>
            <w:vAlign w:val="center"/>
          </w:tcPr>
          <w:p>
            <w:pPr>
              <w:jc w:val="center"/>
              <w:rPr>
                <w:rFonts w:hint="eastAsia"/>
                <w:sz w:val="30"/>
                <w:szCs w:val="36"/>
              </w:rPr>
            </w:pPr>
            <w:r>
              <w:rPr>
                <w:rFonts w:hint="eastAsia"/>
                <w:sz w:val="30"/>
                <w:szCs w:val="36"/>
                <w:lang w:val="en-US" w:eastAsia="zh-CN"/>
              </w:rPr>
              <w:t>10</w:t>
            </w:r>
            <w:r>
              <w:rPr>
                <w:rFonts w:hint="eastAsia"/>
                <w:sz w:val="30"/>
                <w:szCs w:val="36"/>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60" w:type="dxa"/>
            <w:shd w:val="clear" w:color="auto" w:fill="auto"/>
            <w:noWrap w:val="0"/>
            <w:vAlign w:val="center"/>
          </w:tcPr>
          <w:p>
            <w:pPr>
              <w:jc w:val="center"/>
              <w:rPr>
                <w:rFonts w:hint="eastAsia"/>
                <w:sz w:val="24"/>
              </w:rPr>
            </w:pPr>
            <w:r>
              <w:rPr>
                <w:rFonts w:hint="eastAsia"/>
                <w:sz w:val="24"/>
              </w:rPr>
              <w:t>主持人</w:t>
            </w:r>
          </w:p>
        </w:tc>
        <w:tc>
          <w:tcPr>
            <w:tcW w:w="1260" w:type="dxa"/>
            <w:shd w:val="clear" w:color="auto" w:fill="auto"/>
            <w:noWrap w:val="0"/>
            <w:vAlign w:val="center"/>
          </w:tcPr>
          <w:p>
            <w:pPr>
              <w:rPr>
                <w:rFonts w:hint="eastAsia"/>
                <w:sz w:val="24"/>
              </w:rPr>
            </w:pPr>
            <w:r>
              <w:rPr>
                <w:rFonts w:hint="eastAsia"/>
                <w:sz w:val="24"/>
              </w:rPr>
              <w:t xml:space="preserve">柯春燕 </w:t>
            </w:r>
          </w:p>
        </w:tc>
        <w:tc>
          <w:tcPr>
            <w:tcW w:w="1260" w:type="dxa"/>
            <w:shd w:val="clear" w:color="auto" w:fill="auto"/>
            <w:noWrap w:val="0"/>
            <w:vAlign w:val="center"/>
          </w:tcPr>
          <w:p>
            <w:pPr>
              <w:rPr>
                <w:rFonts w:hint="eastAsia"/>
                <w:sz w:val="24"/>
              </w:rPr>
            </w:pPr>
            <w:r>
              <w:rPr>
                <w:rFonts w:hint="eastAsia"/>
                <w:sz w:val="24"/>
              </w:rPr>
              <w:t>活动形式</w:t>
            </w:r>
          </w:p>
        </w:tc>
        <w:tc>
          <w:tcPr>
            <w:tcW w:w="4814" w:type="dxa"/>
            <w:gridSpan w:val="5"/>
            <w:shd w:val="clear" w:color="auto" w:fill="auto"/>
            <w:noWrap w:val="0"/>
            <w:vAlign w:val="center"/>
          </w:tcPr>
          <w:p>
            <w:pPr>
              <w:rPr>
                <w:rFonts w:hint="eastAsia"/>
                <w:sz w:val="28"/>
                <w:szCs w:val="28"/>
              </w:rPr>
            </w:pPr>
            <w:r>
              <w:rPr>
                <w:rFonts w:hint="eastAsia"/>
                <w:sz w:val="28"/>
                <w:szCs w:val="28"/>
              </w:rPr>
              <w:t>借助教材文本，提升审美视野的探讨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7" w:hRule="atLeast"/>
        </w:trPr>
        <w:tc>
          <w:tcPr>
            <w:tcW w:w="1260" w:type="dxa"/>
            <w:shd w:val="clear" w:color="auto" w:fill="auto"/>
            <w:noWrap w:val="0"/>
            <w:vAlign w:val="center"/>
          </w:tcPr>
          <w:p>
            <w:pPr>
              <w:jc w:val="center"/>
              <w:rPr>
                <w:rFonts w:hint="eastAsia"/>
                <w:sz w:val="24"/>
              </w:rPr>
            </w:pPr>
            <w:r>
              <w:rPr>
                <w:rFonts w:hint="eastAsia"/>
                <w:sz w:val="24"/>
              </w:rPr>
              <w:t>研究的目的（范围和方法）</w:t>
            </w:r>
          </w:p>
        </w:tc>
        <w:tc>
          <w:tcPr>
            <w:tcW w:w="7334" w:type="dxa"/>
            <w:gridSpan w:val="7"/>
            <w:shd w:val="clear" w:color="auto" w:fill="auto"/>
            <w:noWrap w:val="0"/>
            <w:vAlign w:val="center"/>
          </w:tcPr>
          <w:p>
            <w:pPr>
              <w:rPr>
                <w:rFonts w:hint="eastAsia"/>
                <w:sz w:val="30"/>
                <w:szCs w:val="36"/>
              </w:rPr>
            </w:pPr>
            <w:r>
              <w:rPr>
                <w:rFonts w:hint="eastAsia"/>
                <w:sz w:val="30"/>
                <w:szCs w:val="30"/>
              </w:rPr>
              <w:t>初中语文审美化教育研究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424" w:hRule="atLeast"/>
        </w:trPr>
        <w:tc>
          <w:tcPr>
            <w:tcW w:w="1260" w:type="dxa"/>
            <w:shd w:val="clear" w:color="auto" w:fill="auto"/>
            <w:noWrap w:val="0"/>
            <w:textDirection w:val="tbRlV"/>
            <w:vAlign w:val="center"/>
          </w:tcPr>
          <w:p>
            <w:pPr>
              <w:ind w:left="113" w:right="113"/>
              <w:jc w:val="center"/>
              <w:rPr>
                <w:rFonts w:hint="eastAsia"/>
                <w:sz w:val="30"/>
                <w:szCs w:val="36"/>
              </w:rPr>
            </w:pPr>
            <w:r>
              <w:rPr>
                <w:rFonts w:hint="eastAsia"/>
                <w:sz w:val="30"/>
                <w:szCs w:val="36"/>
              </w:rPr>
              <w:t>主    要    内    容</w:t>
            </w:r>
          </w:p>
        </w:tc>
        <w:tc>
          <w:tcPr>
            <w:tcW w:w="7334" w:type="dxa"/>
            <w:gridSpan w:val="7"/>
            <w:shd w:val="clear" w:color="auto" w:fill="auto"/>
            <w:noWrap w:val="0"/>
            <w:vAlign w:val="center"/>
          </w:tcPr>
          <w:p>
            <w:pPr>
              <w:pStyle w:val="2"/>
              <w:spacing w:line="480" w:lineRule="atLeast"/>
              <w:ind w:firstLine="480"/>
              <w:rPr>
                <w:rFonts w:hint="eastAsia" w:ascii="Arial" w:hAnsi="Arial" w:cs="Arial"/>
                <w:color w:val="1A1A1A"/>
              </w:rPr>
            </w:pPr>
            <w:r>
              <w:rPr>
                <w:rFonts w:hint="eastAsia" w:ascii="Arial" w:hAnsi="Arial" w:cs="Arial"/>
                <w:color w:val="1A1A1A"/>
              </w:rPr>
              <w:t>中学语文教材是中学语文课堂的教学内容的主体部分，是教师教和学生学的依据。教材在设置理念上把人的生存和发展看作无止境的学习和完善过程，那么，实施教材内容，不应仅局限在教材所提供的语言文字上，还应挖掘鉴赏教材提供的审美意识、精神价值、社会责任感的培养，完成对教材的完整解构。教材内容的美感是蕴含在语文自身的结构中美的显现，体会教材的美可以从形式、内容、意义三个方面进行。</w:t>
            </w:r>
          </w:p>
          <w:p>
            <w:pPr>
              <w:pStyle w:val="2"/>
              <w:spacing w:line="480" w:lineRule="atLeast"/>
              <w:ind w:firstLine="480"/>
              <w:rPr>
                <w:rFonts w:hint="eastAsia" w:ascii="Arial" w:hAnsi="Arial" w:cs="Arial"/>
                <w:color w:val="1A1A1A"/>
              </w:rPr>
            </w:pPr>
            <w:r>
              <w:rPr>
                <w:rFonts w:hint="eastAsia" w:ascii="Arial" w:hAnsi="Arial" w:cs="Arial"/>
                <w:color w:val="1A1A1A"/>
              </w:rPr>
              <w:t>首先，感受形式美。语文文本完全是由声调婉转、音韵和谐、节奏鲜明、美感无穷的文章组成，为语文审美教育的实施在情感抒发和情态描绘的方面，提供了得天独厚的条件。</w:t>
            </w:r>
          </w:p>
          <w:p>
            <w:pPr>
              <w:pStyle w:val="2"/>
              <w:spacing w:line="480" w:lineRule="atLeast"/>
              <w:ind w:firstLine="480"/>
              <w:rPr>
                <w:rFonts w:hint="eastAsia" w:ascii="Arial" w:hAnsi="Arial" w:cs="Arial"/>
                <w:color w:val="1A1A1A"/>
              </w:rPr>
            </w:pPr>
            <w:r>
              <w:rPr>
                <w:rFonts w:hint="eastAsia" w:ascii="Arial" w:hAnsi="Arial" w:cs="Arial"/>
                <w:color w:val="1A1A1A"/>
              </w:rPr>
              <w:t>其次，理解内容美。语文教材涵盖内容丰富，每一篇都融合着一些不尽的话题。从文本中体察内容的美，真正找到文本的内容美并去丰富、去体味。</w:t>
            </w:r>
          </w:p>
          <w:p>
            <w:pPr>
              <w:pStyle w:val="2"/>
              <w:spacing w:line="480" w:lineRule="atLeast"/>
              <w:ind w:firstLine="480"/>
              <w:rPr>
                <w:rFonts w:hint="eastAsia" w:ascii="Arial" w:hAnsi="Arial" w:cs="Arial"/>
                <w:color w:val="1A1A1A"/>
              </w:rPr>
            </w:pPr>
            <w:r>
              <w:rPr>
                <w:rFonts w:hint="eastAsia" w:ascii="Arial" w:hAnsi="Arial" w:cs="Arial"/>
                <w:color w:val="1A1A1A"/>
              </w:rPr>
              <w:t>再次，探寻意义美。探求到文章的内容美，并不等于文本读通了。要想透彻地理解文本，离不开对文本意义美的阐释。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97" w:hRule="atLeast"/>
        </w:trPr>
        <w:tc>
          <w:tcPr>
            <w:tcW w:w="1260" w:type="dxa"/>
            <w:shd w:val="clear" w:color="auto" w:fill="auto"/>
            <w:noWrap w:val="0"/>
            <w:textDirection w:val="tbRlV"/>
            <w:vAlign w:val="center"/>
          </w:tcPr>
          <w:p>
            <w:pPr>
              <w:ind w:left="113" w:right="113"/>
              <w:jc w:val="center"/>
              <w:rPr>
                <w:rFonts w:hint="eastAsia"/>
                <w:sz w:val="30"/>
                <w:szCs w:val="36"/>
              </w:rPr>
            </w:pPr>
            <w:r>
              <w:rPr>
                <w:rFonts w:hint="eastAsia"/>
                <w:sz w:val="30"/>
                <w:szCs w:val="36"/>
              </w:rPr>
              <w:t>评价</w:t>
            </w:r>
          </w:p>
        </w:tc>
        <w:tc>
          <w:tcPr>
            <w:tcW w:w="7334" w:type="dxa"/>
            <w:gridSpan w:val="7"/>
            <w:shd w:val="clear" w:color="auto" w:fill="auto"/>
            <w:noWrap w:val="0"/>
            <w:vAlign w:val="top"/>
          </w:tcPr>
          <w:p>
            <w:pPr>
              <w:ind w:firstLine="480" w:firstLineChars="200"/>
              <w:rPr>
                <w:rFonts w:hint="eastAsia" w:ascii="Arial" w:hAnsi="Arial" w:cs="Arial"/>
                <w:color w:val="1A1A1A"/>
                <w:sz w:val="24"/>
                <w:shd w:val="clear" w:color="auto" w:fill="FFFFFF"/>
              </w:rPr>
            </w:pPr>
            <w:r>
              <w:rPr>
                <w:rFonts w:hint="eastAsia" w:ascii="Arial" w:hAnsi="Arial" w:cs="Arial"/>
                <w:color w:val="1A1A1A"/>
                <w:sz w:val="24"/>
                <w:shd w:val="clear" w:color="auto" w:fill="FFFFFF"/>
              </w:rPr>
              <w:t>审美化教学追求的是通过教学活动促进学生素质的全面和谐发展的特性，给教师的教学提出了更高的要求。教师在注重教学内容完整性的同时，突出了知识的开放性结构和学生塑造自身的发展需求。</w:t>
            </w:r>
          </w:p>
        </w:tc>
      </w:tr>
    </w:tbl>
    <w:p>
      <w:pPr>
        <w:jc w:val="center"/>
      </w:pPr>
      <w:r>
        <w:rPr>
          <w:rFonts w:hint="eastAsia" w:ascii="仿宋_GB2312" w:eastAsia="仿宋_GB2312"/>
          <w:sz w:val="28"/>
          <w:szCs w:val="28"/>
          <w:lang w:val="en-US" w:eastAsia="zh-CN"/>
        </w:rPr>
        <w:t xml:space="preserve">                                  </w:t>
      </w:r>
      <w:bookmarkStart w:id="0" w:name="_GoBack"/>
      <w:bookmarkEnd w:id="0"/>
      <w:r>
        <w:rPr>
          <w:rFonts w:hint="eastAsia" w:ascii="仿宋_GB2312" w:eastAsia="仿宋_GB2312"/>
          <w:sz w:val="28"/>
          <w:szCs w:val="28"/>
        </w:rPr>
        <w:t xml:space="preserve"> 填表人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杨敏</w:t>
      </w:r>
      <w:r>
        <w:rPr>
          <w:rFonts w:hint="eastAsia" w:ascii="仿宋_GB2312" w:eastAsia="仿宋_GB2312"/>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D8"/>
    <w:rsid w:val="00073B32"/>
    <w:rsid w:val="0007750E"/>
    <w:rsid w:val="00084147"/>
    <w:rsid w:val="00100865"/>
    <w:rsid w:val="005B6917"/>
    <w:rsid w:val="006D33B8"/>
    <w:rsid w:val="00796674"/>
    <w:rsid w:val="00944110"/>
    <w:rsid w:val="009F69C6"/>
    <w:rsid w:val="00AD16D8"/>
    <w:rsid w:val="00B52DCF"/>
    <w:rsid w:val="00D638F9"/>
    <w:rsid w:val="00F22253"/>
    <w:rsid w:val="00F90A46"/>
    <w:rsid w:val="6B925C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oblog_text"/>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WWW.TYGHOST.COM</Company>
  <Pages>1</Pages>
  <Words>93</Words>
  <Characters>534</Characters>
  <Lines>4</Lines>
  <Paragraphs>1</Paragraphs>
  <TotalTime>1</TotalTime>
  <ScaleCrop>false</ScaleCrop>
  <LinksUpToDate>false</LinksUpToDate>
  <CharactersWithSpaces>626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2017-11-15T11:54:00Z</dcterms:created>
  <dc:creator>SkyUN.Org</dc:creator>
  <cp:lastModifiedBy>Administrator</cp:lastModifiedBy>
  <dcterms:modified xsi:type="dcterms:W3CDTF">2020-12-17T06:48:03Z</dcterms:modified>
  <dc:title>溧阳市教科研课题研究活动情况登记表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