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eastAsia="zh-CN"/>
        </w:rPr>
        <w:t>新教师共同体第</w:t>
      </w:r>
      <w:r>
        <w:rPr>
          <w:rFonts w:hint="eastAsia" w:asciiTheme="minorEastAsia" w:hAnsiTheme="minorEastAsia" w:cstheme="minorEastAsia"/>
          <w:b/>
          <w:bCs/>
          <w:sz w:val="32"/>
          <w:szCs w:val="32"/>
          <w:lang w:eastAsia="zh-CN"/>
        </w:rPr>
        <w:t>三</w:t>
      </w:r>
      <w:r>
        <w:rPr>
          <w:rFonts w:hint="eastAsia" w:asciiTheme="minorEastAsia" w:hAnsiTheme="minorEastAsia" w:eastAsiaTheme="minorEastAsia" w:cstheme="minorEastAsia"/>
          <w:b/>
          <w:bCs/>
          <w:sz w:val="32"/>
          <w:szCs w:val="32"/>
          <w:lang w:eastAsia="zh-CN"/>
        </w:rPr>
        <w:t>阶段</w:t>
      </w:r>
      <w:r>
        <w:rPr>
          <w:rFonts w:hint="eastAsia" w:asciiTheme="minorEastAsia" w:hAnsiTheme="minorEastAsia" w:eastAsiaTheme="minorEastAsia" w:cstheme="minorEastAsia"/>
          <w:b/>
          <w:bCs/>
          <w:sz w:val="32"/>
          <w:szCs w:val="32"/>
        </w:rPr>
        <w:t>共读活动方案</w:t>
      </w:r>
    </w:p>
    <w:p>
      <w:pPr>
        <w:spacing w:line="360" w:lineRule="auto"/>
        <w:ind w:firstLine="360" w:firstLineChars="15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常州市新北区春江幼儿园</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李晗</w:t>
      </w:r>
      <w:r>
        <w:rPr>
          <w:rFonts w:hint="eastAsia" w:asciiTheme="minorEastAsia" w:hAnsiTheme="minorEastAsia" w:eastAsiaTheme="minorEastAsia" w:cstheme="minorEastAsia"/>
          <w:sz w:val="24"/>
          <w:szCs w:val="24"/>
          <w:lang w:val="en-US" w:eastAsia="zh-CN"/>
        </w:rPr>
        <w:t>、李倩云</w:t>
      </w:r>
    </w:p>
    <w:p>
      <w:pPr>
        <w:spacing w:line="360" w:lineRule="auto"/>
        <w:ind w:firstLine="360" w:firstLineChars="15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本着共学共长、共同进步的原则，以共读为方式，实现思考与行动并行、理论与实践对接、经验与成果共享的“双赢”目标，以《</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观察：走近儿童的世界</w:t>
      </w:r>
      <w:r>
        <w:rPr>
          <w:rFonts w:hint="eastAsia" w:asciiTheme="minorEastAsia" w:hAnsiTheme="minorEastAsia" w:eastAsiaTheme="minorEastAsia" w:cstheme="minorEastAsia"/>
          <w:color w:val="000000" w:themeColor="text1"/>
          <w:sz w:val="24"/>
          <w:szCs w:val="24"/>
          <w14:textFill>
            <w14:solidFill>
              <w14:schemeClr w14:val="tx1"/>
            </w14:solidFill>
          </w14:textFill>
        </w:rPr>
        <w:t>》为理论基点，进一步幼儿观察的实效性</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促进</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新</w:t>
      </w:r>
      <w:r>
        <w:rPr>
          <w:rFonts w:hint="eastAsia" w:asciiTheme="minorEastAsia" w:hAnsiTheme="minorEastAsia" w:eastAsiaTheme="minorEastAsia" w:cstheme="minorEastAsia"/>
          <w:color w:val="000000" w:themeColor="text1"/>
          <w:sz w:val="24"/>
          <w:szCs w:val="24"/>
          <w14:textFill>
            <w14:solidFill>
              <w14:schemeClr w14:val="tx1"/>
            </w14:solidFill>
          </w14:textFill>
        </w:rPr>
        <w:t>教师的专业发展等。现将我组共读内容制定如下：</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一、共读目标</w:t>
      </w:r>
    </w:p>
    <w:p>
      <w:pPr>
        <w:numPr>
          <w:ilvl w:val="0"/>
          <w:numId w:val="1"/>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明晰“</w:t>
      </w:r>
      <w:r>
        <w:rPr>
          <w:rFonts w:hint="eastAsia" w:asciiTheme="minorEastAsia" w:hAnsiTheme="minorEastAsia" w:eastAsiaTheme="minorEastAsia" w:cstheme="minorEastAsia"/>
          <w:sz w:val="24"/>
          <w:szCs w:val="24"/>
          <w:lang w:eastAsia="zh-CN"/>
        </w:rPr>
        <w:t>观察</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lang w:eastAsia="zh-CN"/>
        </w:rPr>
        <w:t>意义，尝试使用多种观察技术支持幼儿的行为观察。</w:t>
      </w:r>
    </w:p>
    <w:p>
      <w:pPr>
        <w:numPr>
          <w:ilvl w:val="0"/>
          <w:numId w:val="1"/>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阅读中分析文中已知晓已做到的、已知晓未做到的、不知晓可尝、不同意的观点，并尝试梳理自己的经验；</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3.回归实践，尝试</w:t>
      </w:r>
      <w:r>
        <w:rPr>
          <w:rFonts w:hint="eastAsia" w:asciiTheme="minorEastAsia" w:hAnsiTheme="minorEastAsia" w:eastAsiaTheme="minorEastAsia" w:cstheme="minorEastAsia"/>
          <w:sz w:val="24"/>
          <w:szCs w:val="24"/>
          <w:lang w:eastAsia="zh-CN"/>
        </w:rPr>
        <w:t>将观察与评价、评价与跟进相结合，从而改善教育行为。</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二、共读内容</w:t>
      </w:r>
    </w:p>
    <w:p>
      <w:pPr>
        <w:numPr>
          <w:ilvl w:val="0"/>
          <w:numId w:val="2"/>
        </w:numPr>
        <w:spacing w:line="360" w:lineRule="auto"/>
        <w:ind w:left="420" w:left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必读书《</w:t>
      </w:r>
      <w:r>
        <w:rPr>
          <w:rFonts w:hint="eastAsia" w:asciiTheme="minorEastAsia" w:hAnsiTheme="minorEastAsia" w:eastAsiaTheme="minorEastAsia" w:cstheme="minorEastAsia"/>
          <w:b/>
          <w:bCs/>
          <w:sz w:val="24"/>
          <w:szCs w:val="24"/>
          <w:lang w:eastAsia="zh-CN"/>
        </w:rPr>
        <w:t>观察：走近儿童的世界</w:t>
      </w:r>
      <w:r>
        <w:rPr>
          <w:rFonts w:hint="eastAsia" w:asciiTheme="minorEastAsia" w:hAnsiTheme="minorEastAsia" w:eastAsiaTheme="minorEastAsia" w:cstheme="minorEastAsia"/>
          <w:b/>
          <w:bCs/>
          <w:sz w:val="24"/>
          <w:szCs w:val="24"/>
        </w:rPr>
        <w:t>》</w:t>
      </w:r>
    </w:p>
    <w:p>
      <w:pPr>
        <w:numPr>
          <w:ilvl w:val="0"/>
          <w:numId w:val="0"/>
        </w:numPr>
        <w:spacing w:line="360" w:lineRule="auto"/>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内容简介：本书旨在帮助幼教工作者理解观察的重要性以及观察对满足儿童需要所产生的影响。本书的第一部分重点介绍了为什么要观察儿童、通过观察能够获得什么以及如何有效地进行观察的内容。第二部分结合有关研究及理论观点和学说阐述了有关观察的问题，以帮助幼教工作者设计符合儿童个体需要的适宜活动。但实施观察的目的并不是为了迎合某种理论和观点，而是要帮助观察者更好地了解儿童及其需要。第五章重点探讨如何利用发展常模来支持观察，以收集有关儿童发展需要的信息。第六章、第七章、第八章分别分析了观察对于0～3岁幼儿教育框架、基础阶段课程和国家课程(the National Curriculum)的重要作用。</w:t>
      </w:r>
    </w:p>
    <w:p>
      <w:pPr>
        <w:numPr>
          <w:ilvl w:val="0"/>
          <w:numId w:val="0"/>
        </w:num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rPr>
        <w:t>选读书/参考书</w:t>
      </w:r>
    </w:p>
    <w:p>
      <w:pPr>
        <w:numPr>
          <w:ilvl w:val="0"/>
          <w:numId w:val="3"/>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《0-8岁儿童学习环境创设》</w:t>
      </w:r>
    </w:p>
    <w:p>
      <w:pPr>
        <w:numPr>
          <w:ilvl w:val="0"/>
          <w:numId w:val="3"/>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幼儿行为的背后》</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三、共读方式</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本次共读主要采用自学、互学、读书交流的方式进行，具体操作如下：</w:t>
      </w:r>
    </w:p>
    <w:p>
      <w:pPr>
        <w:numPr>
          <w:ilvl w:val="0"/>
          <w:numId w:val="4"/>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自学：成员结合共读计划及自我学习的能力，自主阅读书籍；</w:t>
      </w:r>
    </w:p>
    <w:p>
      <w:pPr>
        <w:numPr>
          <w:ilvl w:val="0"/>
          <w:numId w:val="4"/>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互学：利用小打卡程序，定期参与打卡，互相学习他人阅读的方式、经验等，可进行简短互动与探讨；</w:t>
      </w:r>
    </w:p>
    <w:p>
      <w:pPr>
        <w:numPr>
          <w:ilvl w:val="0"/>
          <w:numId w:val="4"/>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读书交流：组内定期召开读书交流活动，阶段性梳理读书的经验、读书后的实践经验、实践中的问题困惑。</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b/>
          <w:bCs/>
          <w:sz w:val="24"/>
          <w:szCs w:val="24"/>
        </w:rPr>
        <w:t>具体安排</w:t>
      </w:r>
    </w:p>
    <w:tbl>
      <w:tblPr>
        <w:tblStyle w:val="6"/>
        <w:tblW w:w="5302" w:type="pct"/>
        <w:tblInd w:w="-3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2739"/>
        <w:gridCol w:w="1334"/>
        <w:gridCol w:w="1802"/>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83" w:type="pct"/>
            <w:vAlign w:val="center"/>
          </w:tcPr>
          <w:p>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时间</w:t>
            </w:r>
          </w:p>
        </w:tc>
        <w:tc>
          <w:tcPr>
            <w:tcW w:w="1516" w:type="pct"/>
            <w:vAlign w:val="center"/>
          </w:tcPr>
          <w:p>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内容</w:t>
            </w:r>
          </w:p>
        </w:tc>
        <w:tc>
          <w:tcPr>
            <w:tcW w:w="738" w:type="pct"/>
            <w:vAlign w:val="center"/>
          </w:tcPr>
          <w:p>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方式</w:t>
            </w:r>
          </w:p>
        </w:tc>
        <w:tc>
          <w:tcPr>
            <w:tcW w:w="997" w:type="pct"/>
          </w:tcPr>
          <w:p>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责任人（领读者）</w:t>
            </w:r>
          </w:p>
        </w:tc>
        <w:tc>
          <w:tcPr>
            <w:tcW w:w="964" w:type="pct"/>
          </w:tcPr>
          <w:p>
            <w:pPr>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cstheme="minorEastAsia"/>
                <w:b/>
                <w:bCs/>
                <w:sz w:val="24"/>
                <w:szCs w:val="24"/>
                <w:lang w:eastAsia="zh-CN"/>
              </w:rPr>
              <w:t>简报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vAlign w:val="center"/>
          </w:tcPr>
          <w:p>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9.1-9.30</w:t>
            </w:r>
          </w:p>
        </w:tc>
        <w:tc>
          <w:tcPr>
            <w:tcW w:w="1516" w:type="pct"/>
            <w:vAlign w:val="center"/>
          </w:tcPr>
          <w:p>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第</w:t>
            </w:r>
            <w:r>
              <w:rPr>
                <w:rFonts w:hint="eastAsia" w:asciiTheme="minorEastAsia" w:hAnsiTheme="minorEastAsia" w:cstheme="minorEastAsia"/>
                <w:sz w:val="24"/>
                <w:szCs w:val="24"/>
                <w:lang w:eastAsia="zh-CN"/>
              </w:rPr>
              <w:t>五</w:t>
            </w:r>
            <w:r>
              <w:rPr>
                <w:rFonts w:hint="eastAsia" w:asciiTheme="minorEastAsia" w:hAnsiTheme="minorEastAsia" w:eastAsiaTheme="minorEastAsia" w:cstheme="minorEastAsia"/>
                <w:sz w:val="24"/>
                <w:szCs w:val="24"/>
              </w:rPr>
              <w:t>章</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观察</w:t>
            </w:r>
            <w:r>
              <w:rPr>
                <w:rFonts w:hint="eastAsia" w:asciiTheme="minorEastAsia" w:hAnsiTheme="minorEastAsia" w:cstheme="minorEastAsia"/>
                <w:sz w:val="24"/>
                <w:szCs w:val="24"/>
                <w:lang w:eastAsia="zh-CN"/>
              </w:rPr>
              <w:t>与发展常模</w:t>
            </w:r>
          </w:p>
        </w:tc>
        <w:tc>
          <w:tcPr>
            <w:tcW w:w="738" w:type="pct"/>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自主阅读</w:t>
            </w:r>
          </w:p>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完成打卡</w:t>
            </w:r>
          </w:p>
        </w:tc>
        <w:tc>
          <w:tcPr>
            <w:tcW w:w="997" w:type="pct"/>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cs="黑体"/>
                <w:sz w:val="24"/>
              </w:rPr>
              <w:t>王婷</w:t>
            </w:r>
          </w:p>
        </w:tc>
        <w:tc>
          <w:tcPr>
            <w:tcW w:w="964" w:type="pct"/>
            <w:vAlign w:val="center"/>
          </w:tcPr>
          <w:p>
            <w:pPr>
              <w:numPr>
                <w:ilvl w:val="0"/>
                <w:numId w:val="0"/>
              </w:numPr>
              <w:spacing w:line="360" w:lineRule="auto"/>
              <w:ind w:left="0" w:leftChars="0" w:firstLine="0" w:firstLineChars="0"/>
              <w:jc w:val="center"/>
              <w:rPr>
                <w:rFonts w:hint="default" w:asciiTheme="minorEastAsia" w:hAnsiTheme="minorEastAsia" w:eastAsiaTheme="minorEastAsia" w:cstheme="minorEastAsia"/>
                <w:sz w:val="24"/>
                <w:szCs w:val="24"/>
                <w:lang w:val="en-US" w:eastAsia="zh-CN"/>
              </w:rPr>
            </w:pPr>
            <w:r>
              <w:rPr>
                <w:rFonts w:hint="eastAsia" w:ascii="宋体" w:hAnsi="宋体"/>
                <w:color w:val="000000"/>
                <w:sz w:val="24"/>
                <w:szCs w:val="24"/>
                <w:lang w:eastAsia="zh-CN"/>
              </w:rPr>
              <w:t>李晗、</w:t>
            </w:r>
            <w:r>
              <w:rPr>
                <w:rFonts w:hint="eastAsia" w:ascii="宋体" w:hAnsi="宋体"/>
                <w:color w:val="000000"/>
                <w:sz w:val="24"/>
                <w:szCs w:val="24"/>
              </w:rPr>
              <w:t>王群倩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83" w:type="pct"/>
            <w:vAlign w:val="center"/>
          </w:tcPr>
          <w:p>
            <w:pPr>
              <w:spacing w:line="360" w:lineRule="auto"/>
              <w:jc w:val="cente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10.1-10.31</w:t>
            </w:r>
          </w:p>
        </w:tc>
        <w:tc>
          <w:tcPr>
            <w:tcW w:w="1516" w:type="pct"/>
            <w:vAlign w:val="center"/>
          </w:tcPr>
          <w:p>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线上研讨：观察记录交流</w:t>
            </w:r>
          </w:p>
        </w:tc>
        <w:tc>
          <w:tcPr>
            <w:tcW w:w="738" w:type="pct"/>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线上</w:t>
            </w:r>
          </w:p>
        </w:tc>
        <w:tc>
          <w:tcPr>
            <w:tcW w:w="1961" w:type="pct"/>
            <w:gridSpan w:val="2"/>
            <w:vAlign w:val="center"/>
          </w:tcPr>
          <w:p>
            <w:pPr>
              <w:numPr>
                <w:ilvl w:val="0"/>
                <w:numId w:val="0"/>
              </w:numPr>
              <w:spacing w:line="360" w:lineRule="auto"/>
              <w:ind w:left="0" w:leftChars="0" w:firstLine="0" w:firstLineChars="0"/>
              <w:jc w:val="center"/>
              <w:rPr>
                <w:rFonts w:hint="default" w:asciiTheme="minorEastAsia" w:hAnsiTheme="minorEastAsia" w:eastAsiaTheme="minorEastAsia" w:cstheme="minorEastAsia"/>
                <w:sz w:val="24"/>
                <w:szCs w:val="24"/>
                <w:lang w:val="en-US" w:eastAsia="zh-CN"/>
              </w:rPr>
            </w:pPr>
            <w:r>
              <w:rPr>
                <w:rFonts w:hint="eastAsia" w:ascii="宋体" w:hAnsi="宋体"/>
                <w:color w:val="000000"/>
                <w:sz w:val="24"/>
                <w:szCs w:val="24"/>
              </w:rPr>
              <w:t>谭雨菲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783" w:type="pct"/>
            <w:vAlign w:val="center"/>
          </w:tcPr>
          <w:p>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11.1-11.31</w:t>
            </w:r>
          </w:p>
        </w:tc>
        <w:tc>
          <w:tcPr>
            <w:tcW w:w="1516" w:type="pct"/>
            <w:vAlign w:val="center"/>
          </w:tcPr>
          <w:p>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第六章 观察与0-3岁幼儿教育框架</w:t>
            </w:r>
          </w:p>
        </w:tc>
        <w:tc>
          <w:tcPr>
            <w:tcW w:w="738" w:type="pct"/>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自主阅读</w:t>
            </w:r>
          </w:p>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完成打卡</w:t>
            </w:r>
          </w:p>
        </w:tc>
        <w:tc>
          <w:tcPr>
            <w:tcW w:w="997" w:type="pct"/>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color w:val="000000"/>
                <w:sz w:val="24"/>
                <w:szCs w:val="24"/>
              </w:rPr>
              <w:t>徐栋</w:t>
            </w:r>
          </w:p>
        </w:tc>
        <w:tc>
          <w:tcPr>
            <w:tcW w:w="964" w:type="pct"/>
            <w:vAlign w:val="center"/>
          </w:tcPr>
          <w:p>
            <w:pPr>
              <w:numPr>
                <w:ilvl w:val="0"/>
                <w:numId w:val="0"/>
              </w:numPr>
              <w:spacing w:line="360" w:lineRule="auto"/>
              <w:ind w:left="0" w:leftChars="0" w:firstLine="0" w:firstLineChars="0"/>
              <w:jc w:val="center"/>
              <w:rPr>
                <w:rFonts w:hint="eastAsia" w:asciiTheme="minorEastAsia" w:hAnsiTheme="minorEastAsia" w:eastAsiaTheme="minorEastAsia" w:cstheme="minorEastAsia"/>
                <w:b w:val="0"/>
                <w:bCs w:val="0"/>
                <w:kern w:val="2"/>
                <w:sz w:val="24"/>
                <w:szCs w:val="24"/>
                <w:vertAlign w:val="baseline"/>
                <w:lang w:val="en-US" w:eastAsia="zh-CN" w:bidi="ar-SA"/>
              </w:rPr>
            </w:pPr>
            <w:r>
              <w:rPr>
                <w:rFonts w:hint="eastAsia" w:ascii="宋体" w:hAnsi="宋体"/>
                <w:color w:val="000000"/>
                <w:sz w:val="24"/>
                <w:szCs w:val="24"/>
                <w:lang w:eastAsia="zh-CN"/>
              </w:rPr>
              <w:t>李倩云、</w:t>
            </w:r>
            <w:r>
              <w:rPr>
                <w:rFonts w:hint="eastAsia" w:ascii="宋体" w:hAnsi="宋体"/>
                <w:color w:val="000000"/>
                <w:sz w:val="24"/>
                <w:szCs w:val="24"/>
              </w:rPr>
              <w:t>耿智尉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83" w:type="pct"/>
            <w:vAlign w:val="center"/>
          </w:tcPr>
          <w:p>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12.1-12.30</w:t>
            </w:r>
          </w:p>
        </w:tc>
        <w:tc>
          <w:tcPr>
            <w:tcW w:w="1516" w:type="pct"/>
            <w:vAlign w:val="center"/>
          </w:tcPr>
          <w:p>
            <w:pPr>
              <w:spacing w:line="360" w:lineRule="auto"/>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线上研讨：观察案例交流</w:t>
            </w:r>
          </w:p>
        </w:tc>
        <w:tc>
          <w:tcPr>
            <w:tcW w:w="738" w:type="pct"/>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线上</w:t>
            </w:r>
          </w:p>
        </w:tc>
        <w:tc>
          <w:tcPr>
            <w:tcW w:w="1961" w:type="pct"/>
            <w:gridSpan w:val="2"/>
            <w:vAlign w:val="center"/>
          </w:tcPr>
          <w:p>
            <w:pPr>
              <w:numPr>
                <w:ilvl w:val="0"/>
                <w:numId w:val="0"/>
              </w:numPr>
              <w:spacing w:line="360" w:lineRule="auto"/>
              <w:ind w:left="0" w:leftChars="0" w:firstLine="0" w:firstLineChars="0"/>
              <w:jc w:val="center"/>
              <w:rPr>
                <w:rFonts w:hint="eastAsia" w:asciiTheme="minorEastAsia" w:hAnsiTheme="minorEastAsia" w:eastAsiaTheme="minorEastAsia" w:cstheme="minorEastAsia"/>
                <w:b w:val="0"/>
                <w:bCs w:val="0"/>
                <w:kern w:val="2"/>
                <w:sz w:val="24"/>
                <w:szCs w:val="24"/>
                <w:vertAlign w:val="baseline"/>
                <w:lang w:val="en-US" w:eastAsia="zh-CN" w:bidi="ar-SA"/>
              </w:rPr>
            </w:pPr>
            <w:r>
              <w:rPr>
                <w:rFonts w:hint="eastAsia" w:ascii="宋体" w:hAnsi="宋体"/>
                <w:color w:val="000000"/>
                <w:sz w:val="24"/>
                <w:szCs w:val="24"/>
              </w:rPr>
              <w:t>王敏威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83" w:type="pct"/>
            <w:vAlign w:val="center"/>
          </w:tcPr>
          <w:p>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1.1-1.31</w:t>
            </w:r>
          </w:p>
        </w:tc>
        <w:tc>
          <w:tcPr>
            <w:tcW w:w="1516" w:type="pct"/>
            <w:vAlign w:val="center"/>
          </w:tcPr>
          <w:p>
            <w:pPr>
              <w:spacing w:line="360" w:lineRule="auto"/>
              <w:jc w:val="center"/>
              <w:rPr>
                <w:rFonts w:hint="eastAsia" w:asciiTheme="minorEastAsia" w:hAnsi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优秀读书笔记评选</w:t>
            </w:r>
          </w:p>
        </w:tc>
        <w:tc>
          <w:tcPr>
            <w:tcW w:w="738" w:type="pct"/>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评选</w:t>
            </w:r>
          </w:p>
        </w:tc>
        <w:tc>
          <w:tcPr>
            <w:tcW w:w="1961" w:type="pct"/>
            <w:gridSpan w:val="2"/>
            <w:vAlign w:val="center"/>
          </w:tcPr>
          <w:p>
            <w:pPr>
              <w:numPr>
                <w:ilvl w:val="0"/>
                <w:numId w:val="0"/>
              </w:numPr>
              <w:spacing w:line="360" w:lineRule="auto"/>
              <w:ind w:left="0" w:leftChars="0" w:firstLine="0" w:firstLineChars="0"/>
              <w:jc w:val="center"/>
              <w:rPr>
                <w:rFonts w:hint="eastAsia" w:asciiTheme="minorEastAsia" w:hAnsiTheme="minorEastAsia" w:eastAsiaTheme="minorEastAsia" w:cstheme="minorEastAsia"/>
                <w:b w:val="0"/>
                <w:bCs w:val="0"/>
                <w:kern w:val="2"/>
                <w:sz w:val="24"/>
                <w:szCs w:val="24"/>
                <w:vertAlign w:val="baseline"/>
                <w:lang w:val="en-US" w:eastAsia="zh-CN" w:bidi="ar-SA"/>
              </w:rPr>
            </w:pPr>
            <w:bookmarkStart w:id="0" w:name="_GoBack"/>
            <w:r>
              <w:rPr>
                <w:rFonts w:hint="eastAsia" w:ascii="宋体" w:hAnsi="宋体" w:cs="黑体"/>
                <w:sz w:val="24"/>
              </w:rPr>
              <w:t>顾一丹</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※读书方式：</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快速阅读：</w:t>
            </w:r>
            <w:r>
              <w:rPr>
                <w:rFonts w:hint="eastAsia" w:asciiTheme="minorEastAsia" w:hAnsiTheme="minorEastAsia" w:eastAsiaTheme="minorEastAsia" w:cstheme="minorEastAsia"/>
                <w:sz w:val="24"/>
                <w:szCs w:val="24"/>
              </w:rPr>
              <w:t>浏览概要、大致的理念</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精读（分析阅读）：读薄：</w:t>
            </w:r>
            <w:r>
              <w:rPr>
                <w:rFonts w:hint="eastAsia" w:asciiTheme="minorEastAsia" w:hAnsiTheme="minorEastAsia" w:eastAsiaTheme="minorEastAsia" w:cstheme="minorEastAsia"/>
                <w:sz w:val="24"/>
                <w:szCs w:val="24"/>
              </w:rPr>
              <w:t>图示化，用自己的字词释义概念，分享给同伴听，记住精要；</w:t>
            </w:r>
          </w:p>
          <w:p>
            <w:pPr>
              <w:spacing w:line="360" w:lineRule="auto"/>
              <w:ind w:firstLine="2048"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读厚：</w:t>
            </w:r>
            <w:r>
              <w:rPr>
                <w:rFonts w:hint="eastAsia" w:asciiTheme="minorEastAsia" w:hAnsiTheme="minorEastAsia" w:eastAsiaTheme="minorEastAsia" w:cstheme="minorEastAsia"/>
                <w:sz w:val="24"/>
                <w:szCs w:val="24"/>
              </w:rPr>
              <w:t>联系自己、拓展实践；链接关联书籍、关联理论、拓展阅读面。把别人的东西变成镜子，思考：想法是否一样？不一样的理由是什么？</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※方式建议：</w:t>
            </w:r>
            <w:r>
              <w:rPr>
                <w:rFonts w:hint="eastAsia" w:asciiTheme="minorEastAsia" w:hAnsiTheme="minorEastAsia" w:eastAsiaTheme="minorEastAsia" w:cstheme="minorEastAsia"/>
                <w:sz w:val="24"/>
                <w:szCs w:val="24"/>
              </w:rPr>
              <w:t>一些图表、一些导图、一些释义、一些问题、一些实践</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※共读：</w:t>
            </w:r>
            <w:r>
              <w:rPr>
                <w:rFonts w:hint="eastAsia" w:asciiTheme="minorEastAsia" w:hAnsiTheme="minorEastAsia" w:eastAsiaTheme="minorEastAsia" w:cstheme="minorEastAsia"/>
                <w:sz w:val="24"/>
                <w:szCs w:val="24"/>
              </w:rPr>
              <w:t>领读人在每一章节共读前一天做到“三定”：定阅读内容、定思考话题、定打卡时间；共读后的阶段交流前做到“三定”：定聚焦问题、定活动方案、定责任人。</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※阶段研讨</w:t>
            </w:r>
            <w:r>
              <w:rPr>
                <w:rFonts w:hint="eastAsia" w:asciiTheme="minorEastAsia" w:hAnsiTheme="minorEastAsia" w:eastAsiaTheme="minorEastAsia" w:cstheme="minorEastAsia"/>
                <w:sz w:val="24"/>
                <w:szCs w:val="24"/>
              </w:rPr>
              <w:t>：就目前的形势而言，暂定为线上研讨。线上会议的形式暂定为腾讯会议、打卡平台的线上互动交流等，根据阶段话题的研讨需要具体确定形式和平台。</w:t>
            </w:r>
          </w:p>
        </w:tc>
      </w:tr>
    </w:tbl>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b/>
          <w:bCs/>
          <w:sz w:val="24"/>
          <w:szCs w:val="24"/>
        </w:rPr>
        <w:t>、共读要求</w:t>
      </w:r>
    </w:p>
    <w:p>
      <w:pPr>
        <w:numPr>
          <w:ilvl w:val="0"/>
          <w:numId w:val="5"/>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内驱力：</w:t>
      </w:r>
      <w:r>
        <w:rPr>
          <w:rFonts w:hint="eastAsia" w:asciiTheme="minorEastAsia" w:hAnsiTheme="minorEastAsia" w:eastAsiaTheme="minorEastAsia" w:cstheme="minorEastAsia"/>
          <w:sz w:val="24"/>
          <w:szCs w:val="24"/>
        </w:rPr>
        <w:t>专业的老师是会学习的人；</w:t>
      </w:r>
    </w:p>
    <w:p>
      <w:pPr>
        <w:numPr>
          <w:ilvl w:val="0"/>
          <w:numId w:val="5"/>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放空自己：</w:t>
      </w:r>
      <w:r>
        <w:rPr>
          <w:rFonts w:hint="eastAsia" w:asciiTheme="minorEastAsia" w:hAnsiTheme="minorEastAsia" w:eastAsiaTheme="minorEastAsia" w:cstheme="minorEastAsia"/>
          <w:sz w:val="24"/>
          <w:szCs w:val="24"/>
        </w:rPr>
        <w:t>空杯的心态阅读（为新的工作理解来阅读，为新的认识来阅读）；</w:t>
      </w:r>
    </w:p>
    <w:p>
      <w:pPr>
        <w:numPr>
          <w:ilvl w:val="0"/>
          <w:numId w:val="5"/>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建立联系：</w:t>
      </w:r>
      <w:r>
        <w:rPr>
          <w:rFonts w:hint="eastAsia" w:asciiTheme="minorEastAsia" w:hAnsiTheme="minorEastAsia" w:eastAsiaTheme="minorEastAsia" w:cstheme="minorEastAsia"/>
          <w:sz w:val="24"/>
          <w:szCs w:val="24"/>
        </w:rPr>
        <w:t>放下自己，和作者建立联系；学习的内容与经验对接；与已有阅读经验建立联系</w:t>
      </w:r>
    </w:p>
    <w:p>
      <w:pPr>
        <w:numPr>
          <w:ilvl w:val="0"/>
          <w:numId w:val="5"/>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用脑：</w:t>
      </w:r>
      <w:r>
        <w:rPr>
          <w:rFonts w:hint="eastAsia" w:asciiTheme="minorEastAsia" w:hAnsiTheme="minorEastAsia" w:eastAsiaTheme="minorEastAsia" w:cstheme="minorEastAsia"/>
          <w:sz w:val="24"/>
          <w:szCs w:val="24"/>
        </w:rPr>
        <w:t>心脑并用，全身心投入，每天半小时；</w:t>
      </w:r>
    </w:p>
    <w:p>
      <w:pPr>
        <w:numPr>
          <w:ilvl w:val="0"/>
          <w:numId w:val="5"/>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用笔：</w:t>
      </w:r>
      <w:r>
        <w:rPr>
          <w:rFonts w:hint="eastAsia" w:asciiTheme="minorEastAsia" w:hAnsiTheme="minorEastAsia" w:eastAsiaTheme="minorEastAsia" w:cstheme="minorEastAsia"/>
          <w:sz w:val="24"/>
          <w:szCs w:val="24"/>
        </w:rPr>
        <w:t>不懂笔墨不读书（看不懂的、有启发的、……）；</w:t>
      </w:r>
    </w:p>
    <w:p>
      <w:pPr>
        <w:numPr>
          <w:ilvl w:val="0"/>
          <w:numId w:val="5"/>
        </w:numPr>
        <w:spacing w:line="360" w:lineRule="auto"/>
        <w:ind w:left="420" w:left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按时打卡：</w:t>
      </w:r>
      <w:r>
        <w:rPr>
          <w:rFonts w:hint="eastAsia" w:asciiTheme="minorEastAsia" w:hAnsiTheme="minorEastAsia" w:eastAsiaTheme="minorEastAsia" w:cstheme="minorEastAsia"/>
          <w:sz w:val="24"/>
          <w:szCs w:val="24"/>
        </w:rPr>
        <w:t>按照规定时间节点完成作业打卡</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六</w:t>
      </w:r>
      <w:r>
        <w:rPr>
          <w:rFonts w:hint="eastAsia" w:asciiTheme="minorEastAsia" w:hAnsiTheme="minorEastAsia" w:eastAsiaTheme="minorEastAsia" w:cstheme="minorEastAsia"/>
          <w:b/>
          <w:bCs/>
          <w:sz w:val="24"/>
          <w:szCs w:val="24"/>
        </w:rPr>
        <w:t>、评价考核</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考核并不是读书的目的，读书旨在将书中的经验转换为实践中的经验，因此本次评价考核主要依托于小打卡的参与度、读书交流参与情况以及读书笔记撰写的情况。</w:t>
      </w:r>
    </w:p>
    <w:p>
      <w:pPr>
        <w:numPr>
          <w:ilvl w:val="0"/>
          <w:numId w:val="0"/>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小打卡：</w:t>
      </w:r>
      <w:r>
        <w:rPr>
          <w:rFonts w:hint="eastAsia" w:asciiTheme="minorEastAsia" w:hAnsiTheme="minorEastAsia" w:eastAsiaTheme="minorEastAsia" w:cstheme="minorEastAsia"/>
          <w:sz w:val="24"/>
          <w:szCs w:val="24"/>
          <w:lang w:eastAsia="zh-CN"/>
        </w:rPr>
        <w:t>领读人</w:t>
      </w:r>
      <w:r>
        <w:rPr>
          <w:rFonts w:hint="eastAsia" w:asciiTheme="minorEastAsia" w:hAnsiTheme="minorEastAsia" w:eastAsiaTheme="minorEastAsia" w:cstheme="minorEastAsia"/>
          <w:sz w:val="24"/>
          <w:szCs w:val="24"/>
        </w:rPr>
        <w:t>关注组员参与小打卡的情况，并在群内定期反馈。</w:t>
      </w:r>
    </w:p>
    <w:p>
      <w:pPr>
        <w:numPr>
          <w:ilvl w:val="0"/>
          <w:numId w:val="0"/>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读书笔记：汇总读书笔记后，由全体小组成员共同参与学习与评选，推选优秀的读书笔记文稿。</w:t>
      </w:r>
    </w:p>
    <w:p>
      <w:pPr>
        <w:numPr>
          <w:ilvl w:val="0"/>
          <w:numId w:val="0"/>
        </w:num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七、人员分工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6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vAlign w:val="center"/>
          </w:tcPr>
          <w:p>
            <w:pPr>
              <w:numPr>
                <w:ilvl w:val="0"/>
                <w:numId w:val="0"/>
              </w:numPr>
              <w:spacing w:line="360" w:lineRule="auto"/>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eastAsiaTheme="minorEastAsia" w:cstheme="minorEastAsia"/>
                <w:b/>
                <w:bCs/>
                <w:sz w:val="24"/>
                <w:szCs w:val="24"/>
                <w:vertAlign w:val="baseline"/>
                <w:lang w:eastAsia="zh-CN"/>
              </w:rPr>
              <w:t>责任人</w:t>
            </w:r>
          </w:p>
        </w:tc>
        <w:tc>
          <w:tcPr>
            <w:tcW w:w="6983" w:type="dxa"/>
            <w:vAlign w:val="center"/>
          </w:tcPr>
          <w:p>
            <w:pPr>
              <w:numPr>
                <w:ilvl w:val="0"/>
                <w:numId w:val="0"/>
              </w:numPr>
              <w:spacing w:line="360" w:lineRule="auto"/>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eastAsiaTheme="minorEastAsia" w:cstheme="minorEastAsia"/>
                <w:b/>
                <w:bCs/>
                <w:sz w:val="24"/>
                <w:szCs w:val="24"/>
                <w:vertAlign w:val="baseline"/>
                <w:lang w:eastAsia="zh-CN"/>
              </w:rPr>
              <w:t>具体职责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vAlign w:val="center"/>
          </w:tcPr>
          <w:p>
            <w:pPr>
              <w:numPr>
                <w:ilvl w:val="0"/>
                <w:numId w:val="0"/>
              </w:numPr>
              <w:spacing w:line="360" w:lineRule="auto"/>
              <w:jc w:val="center"/>
              <w:rPr>
                <w:rFonts w:hint="eastAsia" w:asciiTheme="minorEastAsia" w:hAnsiTheme="minorEastAsia" w:eastAsiaTheme="minorEastAsia" w:cstheme="minorEastAsia"/>
                <w:b w:val="0"/>
                <w:bCs w:val="0"/>
                <w:sz w:val="24"/>
                <w:szCs w:val="24"/>
                <w:vertAlign w:val="baseline"/>
                <w:lang w:eastAsia="zh-CN"/>
              </w:rPr>
            </w:pPr>
            <w:r>
              <w:rPr>
                <w:rFonts w:hint="eastAsia" w:asciiTheme="minorEastAsia" w:hAnsiTheme="minorEastAsia" w:eastAsiaTheme="minorEastAsia" w:cstheme="minorEastAsia"/>
                <w:b w:val="0"/>
                <w:bCs w:val="0"/>
                <w:sz w:val="24"/>
                <w:szCs w:val="24"/>
                <w:vertAlign w:val="baseline"/>
                <w:lang w:eastAsia="zh-CN"/>
              </w:rPr>
              <w:t>领读人</w:t>
            </w:r>
          </w:p>
        </w:tc>
        <w:tc>
          <w:tcPr>
            <w:tcW w:w="6983" w:type="dxa"/>
          </w:tcPr>
          <w:p>
            <w:pPr>
              <w:numPr>
                <w:ilvl w:val="0"/>
                <w:numId w:val="6"/>
              </w:numPr>
              <w:spacing w:line="360" w:lineRule="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提前两天确定打卡话题，提交组长审核。</w:t>
            </w:r>
          </w:p>
          <w:p>
            <w:pPr>
              <w:numPr>
                <w:ilvl w:val="0"/>
                <w:numId w:val="6"/>
              </w:numPr>
              <w:spacing w:line="360" w:lineRule="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提前一天发布打卡话题，完成组内和打卡平台的双发布。</w:t>
            </w:r>
          </w:p>
          <w:p>
            <w:pPr>
              <w:numPr>
                <w:ilvl w:val="0"/>
                <w:numId w:val="6"/>
              </w:numPr>
              <w:spacing w:line="360" w:lineRule="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一周阅读活动后的教研主持人（确定话题、交流形式）</w:t>
            </w:r>
          </w:p>
          <w:p>
            <w:pPr>
              <w:numPr>
                <w:ilvl w:val="0"/>
                <w:numId w:val="6"/>
              </w:numPr>
              <w:spacing w:line="360" w:lineRule="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确定本周简报的框架结构、统筹编辑。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vAlign w:val="center"/>
          </w:tcPr>
          <w:p>
            <w:pPr>
              <w:numPr>
                <w:ilvl w:val="0"/>
                <w:numId w:val="0"/>
              </w:numPr>
              <w:spacing w:line="360" w:lineRule="auto"/>
              <w:jc w:val="center"/>
              <w:rPr>
                <w:rFonts w:hint="eastAsia" w:asciiTheme="minorEastAsia" w:hAnsiTheme="minorEastAsia" w:eastAsiaTheme="minorEastAsia" w:cstheme="minorEastAsia"/>
                <w:b w:val="0"/>
                <w:bCs w:val="0"/>
                <w:sz w:val="24"/>
                <w:szCs w:val="24"/>
                <w:vertAlign w:val="baseline"/>
                <w:lang w:eastAsia="zh-CN"/>
              </w:rPr>
            </w:pPr>
            <w:r>
              <w:rPr>
                <w:rFonts w:hint="eastAsia" w:asciiTheme="minorEastAsia" w:hAnsiTheme="minorEastAsia" w:cstheme="minorEastAsia"/>
                <w:b w:val="0"/>
                <w:bCs w:val="0"/>
                <w:sz w:val="24"/>
                <w:szCs w:val="24"/>
                <w:vertAlign w:val="baseline"/>
                <w:lang w:eastAsia="zh-CN"/>
              </w:rPr>
              <w:t>简报</w:t>
            </w:r>
          </w:p>
        </w:tc>
        <w:tc>
          <w:tcPr>
            <w:tcW w:w="6983" w:type="dxa"/>
          </w:tcPr>
          <w:p>
            <w:pPr>
              <w:numPr>
                <w:ilvl w:val="0"/>
                <w:numId w:val="0"/>
              </w:numPr>
              <w:spacing w:line="360" w:lineRule="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1、</w:t>
            </w:r>
            <w:r>
              <w:rPr>
                <w:rFonts w:hint="eastAsia" w:asciiTheme="minorEastAsia" w:hAnsiTheme="minorEastAsia" w:eastAsiaTheme="minorEastAsia" w:cstheme="minorEastAsia"/>
                <w:b w:val="0"/>
                <w:bCs w:val="0"/>
                <w:sz w:val="24"/>
                <w:szCs w:val="24"/>
                <w:vertAlign w:val="baseline"/>
                <w:lang w:eastAsia="zh-CN"/>
              </w:rPr>
              <w:t>主要根据领读人的指导，完成当周阅读</w:t>
            </w:r>
            <w:r>
              <w:rPr>
                <w:rFonts w:hint="eastAsia" w:asciiTheme="minorEastAsia" w:hAnsiTheme="minorEastAsia" w:cstheme="minorEastAsia"/>
                <w:b w:val="0"/>
                <w:bCs w:val="0"/>
                <w:sz w:val="24"/>
                <w:szCs w:val="24"/>
                <w:vertAlign w:val="baseline"/>
                <w:lang w:val="en-US" w:eastAsia="zh-CN"/>
              </w:rPr>
              <w:t>、</w:t>
            </w:r>
            <w:r>
              <w:rPr>
                <w:rFonts w:hint="eastAsia" w:asciiTheme="minorEastAsia" w:hAnsiTheme="minorEastAsia" w:eastAsiaTheme="minorEastAsia" w:cstheme="minorEastAsia"/>
                <w:b w:val="0"/>
                <w:bCs w:val="0"/>
                <w:sz w:val="24"/>
                <w:szCs w:val="24"/>
                <w:vertAlign w:val="baseline"/>
                <w:lang w:val="en-US" w:eastAsia="zh-CN"/>
              </w:rPr>
              <w:t>教研情况的文稿统稿、编辑和梳理工作</w:t>
            </w:r>
            <w:r>
              <w:rPr>
                <w:rFonts w:hint="eastAsia" w:asciiTheme="minorEastAsia" w:hAnsiTheme="minorEastAsia" w:cstheme="minorEastAsia"/>
                <w:b w:val="0"/>
                <w:bCs w:val="0"/>
                <w:sz w:val="24"/>
                <w:szCs w:val="24"/>
                <w:vertAlign w:val="baseline"/>
                <w:lang w:val="en-US" w:eastAsia="zh-CN"/>
              </w:rPr>
              <w:t>，</w:t>
            </w:r>
            <w:r>
              <w:rPr>
                <w:rFonts w:hint="eastAsia" w:asciiTheme="minorEastAsia" w:hAnsiTheme="minorEastAsia" w:eastAsiaTheme="minorEastAsia" w:cstheme="minorEastAsia"/>
                <w:b w:val="0"/>
                <w:bCs w:val="0"/>
                <w:sz w:val="24"/>
                <w:szCs w:val="24"/>
                <w:vertAlign w:val="baseline"/>
                <w:lang w:val="en-US" w:eastAsia="zh-CN"/>
              </w:rPr>
              <w:t>形成汇报简报</w:t>
            </w:r>
            <w:r>
              <w:rPr>
                <w:rFonts w:hint="eastAsia" w:asciiTheme="minorEastAsia" w:hAnsiTheme="minorEastAsia" w:cstheme="minorEastAsia"/>
                <w:b w:val="0"/>
                <w:bCs w:val="0"/>
                <w:sz w:val="24"/>
                <w:szCs w:val="24"/>
                <w:vertAlign w:val="baseline"/>
                <w:lang w:val="en-US" w:eastAsia="zh-CN"/>
              </w:rPr>
              <w:t>。</w:t>
            </w:r>
          </w:p>
          <w:p>
            <w:pPr>
              <w:numPr>
                <w:ilvl w:val="0"/>
                <w:numId w:val="0"/>
              </w:numPr>
              <w:spacing w:line="360" w:lineRule="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2、</w:t>
            </w:r>
            <w:r>
              <w:rPr>
                <w:rFonts w:hint="eastAsia" w:asciiTheme="minorEastAsia" w:hAnsiTheme="minorEastAsia" w:eastAsiaTheme="minorEastAsia" w:cstheme="minorEastAsia"/>
                <w:b w:val="0"/>
                <w:bCs w:val="0"/>
                <w:sz w:val="24"/>
                <w:szCs w:val="24"/>
                <w:vertAlign w:val="baseline"/>
                <w:lang w:val="en-US" w:eastAsia="zh-CN"/>
              </w:rPr>
              <w:t>担任当周教研活动的会议记录</w:t>
            </w:r>
          </w:p>
        </w:tc>
      </w:tr>
    </w:tbl>
    <w:p>
      <w:pPr>
        <w:numPr>
          <w:ilvl w:val="0"/>
          <w:numId w:val="0"/>
        </w:numPr>
        <w:spacing w:line="360" w:lineRule="auto"/>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8F3E6"/>
    <w:multiLevelType w:val="singleLevel"/>
    <w:tmpl w:val="0EB8F3E6"/>
    <w:lvl w:ilvl="0" w:tentative="0">
      <w:start w:val="1"/>
      <w:numFmt w:val="decimal"/>
      <w:lvlText w:val="%1."/>
      <w:lvlJc w:val="left"/>
      <w:pPr>
        <w:tabs>
          <w:tab w:val="left" w:pos="312"/>
        </w:tabs>
      </w:pPr>
    </w:lvl>
  </w:abstractNum>
  <w:abstractNum w:abstractNumId="1">
    <w:nsid w:val="133CA35D"/>
    <w:multiLevelType w:val="singleLevel"/>
    <w:tmpl w:val="133CA35D"/>
    <w:lvl w:ilvl="0" w:tentative="0">
      <w:start w:val="1"/>
      <w:numFmt w:val="decimal"/>
      <w:suff w:val="nothing"/>
      <w:lvlText w:val="（%1）"/>
      <w:lvlJc w:val="left"/>
    </w:lvl>
  </w:abstractNum>
  <w:abstractNum w:abstractNumId="2">
    <w:nsid w:val="346CD330"/>
    <w:multiLevelType w:val="singleLevel"/>
    <w:tmpl w:val="346CD330"/>
    <w:lvl w:ilvl="0" w:tentative="0">
      <w:start w:val="1"/>
      <w:numFmt w:val="decimal"/>
      <w:lvlText w:val="%1."/>
      <w:lvlJc w:val="left"/>
      <w:pPr>
        <w:tabs>
          <w:tab w:val="left" w:pos="312"/>
        </w:tabs>
      </w:pPr>
    </w:lvl>
  </w:abstractNum>
  <w:abstractNum w:abstractNumId="3">
    <w:nsid w:val="347F2E2A"/>
    <w:multiLevelType w:val="singleLevel"/>
    <w:tmpl w:val="347F2E2A"/>
    <w:lvl w:ilvl="0" w:tentative="0">
      <w:start w:val="1"/>
      <w:numFmt w:val="decimal"/>
      <w:lvlText w:val="%1."/>
      <w:lvlJc w:val="left"/>
      <w:pPr>
        <w:tabs>
          <w:tab w:val="left" w:pos="312"/>
        </w:tabs>
      </w:pPr>
    </w:lvl>
  </w:abstractNum>
  <w:abstractNum w:abstractNumId="4">
    <w:nsid w:val="3E0F0019"/>
    <w:multiLevelType w:val="singleLevel"/>
    <w:tmpl w:val="3E0F0019"/>
    <w:lvl w:ilvl="0" w:tentative="0">
      <w:start w:val="1"/>
      <w:numFmt w:val="decimal"/>
      <w:suff w:val="nothing"/>
      <w:lvlText w:val="%1、"/>
      <w:lvlJc w:val="left"/>
    </w:lvl>
  </w:abstractNum>
  <w:abstractNum w:abstractNumId="5">
    <w:nsid w:val="4D04E068"/>
    <w:multiLevelType w:val="singleLevel"/>
    <w:tmpl w:val="4D04E068"/>
    <w:lvl w:ilvl="0" w:tentative="0">
      <w:start w:val="1"/>
      <w:numFmt w:val="decimal"/>
      <w:lvlText w:val="%1."/>
      <w:lvlJc w:val="left"/>
      <w:pPr>
        <w:tabs>
          <w:tab w:val="left" w:pos="312"/>
        </w:tabs>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B2199"/>
    <w:rsid w:val="00046D91"/>
    <w:rsid w:val="000E1CE8"/>
    <w:rsid w:val="0049098F"/>
    <w:rsid w:val="006211E3"/>
    <w:rsid w:val="00626FB9"/>
    <w:rsid w:val="00745B87"/>
    <w:rsid w:val="007551CD"/>
    <w:rsid w:val="00854DEE"/>
    <w:rsid w:val="008C31B8"/>
    <w:rsid w:val="008F1C16"/>
    <w:rsid w:val="00D451C4"/>
    <w:rsid w:val="00DF07D2"/>
    <w:rsid w:val="00EC2594"/>
    <w:rsid w:val="00EF5104"/>
    <w:rsid w:val="1D1272E6"/>
    <w:rsid w:val="27CE35CE"/>
    <w:rsid w:val="2BBE12A6"/>
    <w:rsid w:val="2DD02517"/>
    <w:rsid w:val="3F3A6888"/>
    <w:rsid w:val="592F6214"/>
    <w:rsid w:val="697B2199"/>
    <w:rsid w:val="6B633FC0"/>
    <w:rsid w:val="6EBC6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日期 字符"/>
    <w:basedOn w:val="7"/>
    <w:link w:val="2"/>
    <w:qFormat/>
    <w:uiPriority w:val="0"/>
    <w:rPr>
      <w:kern w:val="2"/>
      <w:sz w:val="21"/>
      <w:szCs w:val="24"/>
    </w:rPr>
  </w:style>
  <w:style w:type="paragraph" w:styleId="9">
    <w:name w:val="List Paragraph"/>
    <w:basedOn w:val="1"/>
    <w:qFormat/>
    <w:uiPriority w:val="34"/>
    <w:pPr>
      <w:ind w:firstLine="420" w:firstLineChars="200"/>
    </w:pPr>
    <w:rPr>
      <w:sz w:val="24"/>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349</Words>
  <Characters>1994</Characters>
  <Lines>16</Lines>
  <Paragraphs>4</Paragraphs>
  <TotalTime>11</TotalTime>
  <ScaleCrop>false</ScaleCrop>
  <LinksUpToDate>false</LinksUpToDate>
  <CharactersWithSpaces>2339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2020-03-16T02:55:00Z</dcterms:created>
  <dc:creator>三戒</dc:creator>
  <cp:lastModifiedBy>施太太</cp:lastModifiedBy>
  <dcterms:modified xsi:type="dcterms:W3CDTF">2020-08-30T08:06:41Z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