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hd w:val="clear" w:color="auto" w:fill="FFFFFF"/>
        <w:spacing w:before="156" w:line="360" w:lineRule="auto"/>
        <w:jc w:val="center"/>
        <w:rPr>
          <w:rFonts w:ascii="方正黑体简体" w:hAnsi="宋体" w:eastAsia="方正黑体简体" w:cs="宋体"/>
          <w:b/>
          <w:color w:val="FF0000"/>
          <w:kern w:val="0"/>
          <w:sz w:val="44"/>
          <w:szCs w:val="44"/>
        </w:rPr>
      </w:pPr>
      <w:r>
        <w:rPr>
          <w:rFonts w:hint="eastAsia" w:ascii="方正黑体简体" w:hAnsi="宋体" w:eastAsia="方正黑体简体" w:cs="宋体"/>
          <w:b/>
          <w:color w:val="FF0000"/>
          <w:kern w:val="0"/>
          <w:sz w:val="44"/>
          <w:szCs w:val="44"/>
        </w:rPr>
        <w:t>《观察：走进儿童的世界》共读分享</w:t>
      </w:r>
    </w:p>
    <w:p>
      <w:pPr>
        <w:widowControl/>
        <w:shd w:val="clear" w:color="auto" w:fill="FFFFFF"/>
        <w:spacing w:before="156" w:line="360" w:lineRule="auto"/>
        <w:jc w:val="center"/>
        <w:rPr>
          <w:rFonts w:ascii="方正大标宋简体" w:hAnsi="宋体" w:eastAsia="方正大标宋简体" w:cs="宋体"/>
          <w:b/>
          <w:color w:val="343434"/>
          <w:kern w:val="0"/>
          <w:sz w:val="56"/>
          <w:szCs w:val="56"/>
        </w:rPr>
      </w:pPr>
      <w:r>
        <w:rPr>
          <w:rFonts w:hint="eastAsia" w:ascii="方正大标宋简体" w:hAnsi="宋体" w:eastAsia="方正大标宋简体" w:cs="宋体"/>
          <w:b/>
          <w:color w:val="FF0000"/>
          <w:kern w:val="0"/>
          <w:sz w:val="56"/>
          <w:szCs w:val="56"/>
        </w:rPr>
        <w:t>简</w:t>
      </w:r>
      <w:r>
        <w:rPr>
          <w:rFonts w:hint="eastAsia" w:ascii="方正大标宋简体" w:hAnsi="宋体" w:eastAsia="方正大标宋简体" w:cs="宋体"/>
          <w:b/>
          <w:color w:val="343434"/>
          <w:kern w:val="0"/>
          <w:sz w:val="56"/>
          <w:szCs w:val="56"/>
        </w:rPr>
        <w:t xml:space="preserve"> </w:t>
      </w:r>
      <w:r>
        <w:rPr>
          <w:rFonts w:hint="eastAsia" w:ascii="方正大标宋简体" w:hAnsi="宋体" w:eastAsia="方正大标宋简体" w:cs="宋体"/>
          <w:b/>
          <w:color w:val="FF0000"/>
          <w:kern w:val="0"/>
          <w:sz w:val="56"/>
          <w:szCs w:val="56"/>
        </w:rPr>
        <w:t>报</w:t>
      </w:r>
    </w:p>
    <w:p>
      <w:pPr>
        <w:spacing w:line="360" w:lineRule="auto"/>
        <w:rPr>
          <w:rFonts w:ascii="仿宋_GB2312" w:eastAsia="仿宋_GB2312"/>
          <w:sz w:val="28"/>
          <w:szCs w:val="28"/>
        </w:rPr>
      </w:pPr>
      <w:r>
        <w:rPr>
          <w:rFonts w:hint="eastAsia" w:ascii="仿宋_GB2312" w:eastAsia="仿宋_GB2312"/>
          <w:sz w:val="28"/>
          <w:szCs w:val="28"/>
        </w:rPr>
        <w:t>常州市新北区春江幼儿园                      2020年</w:t>
      </w:r>
      <w:r>
        <w:rPr>
          <w:rFonts w:hint="eastAsia" w:ascii="仿宋_GB2312" w:eastAsia="仿宋_GB2312"/>
          <w:sz w:val="28"/>
          <w:szCs w:val="28"/>
          <w:lang w:val="en-US" w:eastAsia="zh-CN"/>
        </w:rPr>
        <w:t>11</w:t>
      </w:r>
      <w:r>
        <w:rPr>
          <w:rFonts w:hint="eastAsia" w:ascii="仿宋_GB2312" w:eastAsia="仿宋_GB2312"/>
          <w:sz w:val="28"/>
          <w:szCs w:val="28"/>
        </w:rPr>
        <w:t>月</w:t>
      </w:r>
      <w:r>
        <w:rPr>
          <w:rFonts w:hint="eastAsia" w:ascii="仿宋_GB2312" w:eastAsia="仿宋_GB2312"/>
          <w:sz w:val="28"/>
          <w:szCs w:val="28"/>
          <w:lang w:val="en-US" w:eastAsia="zh-CN"/>
        </w:rPr>
        <w:t>30</w:t>
      </w:r>
      <w:r>
        <w:rPr>
          <w:rFonts w:hint="eastAsia" w:ascii="仿宋_GB2312" w:eastAsia="仿宋_GB2312"/>
          <w:sz w:val="28"/>
          <w:szCs w:val="28"/>
        </w:rPr>
        <w:t>日</w:t>
      </w:r>
    </w:p>
    <w:p>
      <w:pPr>
        <w:spacing w:line="360" w:lineRule="auto"/>
        <w:rPr>
          <w:szCs w:val="21"/>
        </w:rPr>
      </w:pPr>
      <w:r>
        <w:rPr>
          <w:szCs w:val="21"/>
        </w:rPr>
        <w:drawing>
          <wp:inline distT="0" distB="0" distL="0" distR="0">
            <wp:extent cx="5715000" cy="60960"/>
            <wp:effectExtent l="0" t="0" r="0" b="0"/>
            <wp:docPr id="1026" name="Picture 1"/>
            <wp:cNvGraphicFramePr/>
            <a:graphic xmlns:a="http://schemas.openxmlformats.org/drawingml/2006/main">
              <a:graphicData uri="http://schemas.openxmlformats.org/drawingml/2006/picture">
                <pic:pic xmlns:pic="http://schemas.openxmlformats.org/drawingml/2006/picture">
                  <pic:nvPicPr>
                    <pic:cNvPr id="1026" name="Picture 1"/>
                    <pic:cNvPicPr/>
                  </pic:nvPicPr>
                  <pic:blipFill>
                    <a:blip r:embed="rId4" cstate="print"/>
                    <a:srcRect/>
                    <a:stretch>
                      <a:fillRect/>
                    </a:stretch>
                  </pic:blipFill>
                  <pic:spPr>
                    <a:xfrm>
                      <a:off x="0" y="0"/>
                      <a:ext cx="5715000" cy="60960"/>
                    </a:xfrm>
                    <a:prstGeom prst="rect">
                      <a:avLst/>
                    </a:prstGeom>
                    <a:ln>
                      <a:noFill/>
                    </a:ln>
                  </pic:spPr>
                </pic:pic>
              </a:graphicData>
            </a:graphic>
          </wp:inline>
        </w:drawing>
      </w:r>
    </w:p>
    <w:p>
      <w:pPr>
        <w:spacing w:line="360" w:lineRule="auto"/>
        <w:rPr>
          <w:rFonts w:hint="eastAsia" w:ascii="宋体" w:hAnsi="宋体"/>
          <w:szCs w:val="21"/>
          <w:lang w:val="en-US" w:eastAsia="zh-CN"/>
        </w:rPr>
      </w:pPr>
      <w:r>
        <w:rPr>
          <w:rFonts w:hint="eastAsia" w:ascii="黑体" w:eastAsia="黑体"/>
          <w:sz w:val="28"/>
          <w:szCs w:val="28"/>
          <w:shd w:val="clear" w:color="auto" w:fill="7F7F7F"/>
        </w:rPr>
        <w:t>本期主题：</w:t>
      </w:r>
      <w:r>
        <w:rPr>
          <w:rFonts w:hint="eastAsia" w:ascii="宋体" w:hAnsi="宋体"/>
          <w:szCs w:val="21"/>
        </w:rPr>
        <w:t xml:space="preserve">    共读第</w:t>
      </w:r>
      <w:r>
        <w:rPr>
          <w:rFonts w:hint="eastAsia" w:ascii="宋体" w:hAnsi="宋体"/>
          <w:szCs w:val="21"/>
          <w:lang w:val="en-US" w:eastAsia="zh-CN"/>
        </w:rPr>
        <w:t>六、七、八</w:t>
      </w:r>
      <w:r>
        <w:rPr>
          <w:rFonts w:hint="eastAsia" w:ascii="宋体" w:hAnsi="宋体"/>
          <w:szCs w:val="21"/>
        </w:rPr>
        <w:t>章</w:t>
      </w:r>
    </w:p>
    <w:p>
      <w:pPr>
        <w:spacing w:line="360" w:lineRule="auto"/>
        <w:rPr>
          <w:rFonts w:ascii="宋体" w:hAnsi="宋体"/>
          <w:szCs w:val="21"/>
        </w:rPr>
      </w:pPr>
      <w:r>
        <w:rPr>
          <w:rFonts w:hint="eastAsia" w:ascii="黑体" w:eastAsia="黑体"/>
          <w:sz w:val="28"/>
          <w:szCs w:val="28"/>
          <w:shd w:val="clear" w:color="auto" w:fill="7F7F7F"/>
        </w:rPr>
        <w:t>参与人员：</w:t>
      </w:r>
      <w:r>
        <w:rPr>
          <w:rFonts w:hint="eastAsia" w:ascii="宋体" w:hAnsi="宋体"/>
          <w:szCs w:val="21"/>
        </w:rPr>
        <w:t xml:space="preserve">    春江幼儿园新教师共同体</w:t>
      </w:r>
    </w:p>
    <w:p>
      <w:pPr>
        <w:spacing w:line="360" w:lineRule="auto"/>
        <w:rPr>
          <w:rFonts w:hint="default" w:ascii="宋体" w:hAnsi="宋体" w:eastAsia="宋体"/>
          <w:szCs w:val="21"/>
          <w:lang w:val="en-US" w:eastAsia="zh-CN"/>
        </w:rPr>
      </w:pPr>
      <w:r>
        <w:rPr>
          <w:rFonts w:hint="eastAsia" w:ascii="黑体" w:eastAsia="黑体"/>
          <w:sz w:val="28"/>
          <w:szCs w:val="28"/>
          <w:shd w:val="clear" w:color="auto" w:fill="7F7F7F"/>
        </w:rPr>
        <w:t>关 键 词：</w:t>
      </w:r>
      <w:r>
        <w:rPr>
          <w:rFonts w:hint="eastAsia" w:ascii="宋体" w:hAnsi="宋体"/>
          <w:szCs w:val="21"/>
        </w:rPr>
        <w:t xml:space="preserve">    </w:t>
      </w:r>
      <w:r>
        <w:rPr>
          <w:rFonts w:hint="eastAsia" w:ascii="宋体" w:hAnsi="宋体"/>
          <w:szCs w:val="21"/>
          <w:lang w:val="en-US" w:eastAsia="zh-CN"/>
        </w:rPr>
        <w:t>支持性成人、观察与课程</w:t>
      </w:r>
    </w:p>
    <w:p>
      <w:pPr>
        <w:spacing w:line="360" w:lineRule="auto"/>
        <w:rPr>
          <w:rFonts w:ascii="宋体" w:hAnsi="宋体"/>
          <w:szCs w:val="21"/>
        </w:rPr>
      </w:pPr>
      <w:r>
        <w:rPr>
          <w:rFonts w:hint="eastAsia" w:ascii="黑体" w:eastAsia="黑体"/>
          <w:sz w:val="28"/>
          <w:szCs w:val="28"/>
          <w:shd w:val="clear" w:color="auto" w:fill="7F7F7F"/>
        </w:rPr>
        <w:t>辅助材料：</w:t>
      </w:r>
      <w:r>
        <w:rPr>
          <w:rFonts w:hint="eastAsia" w:ascii="宋体" w:hAnsi="宋体"/>
          <w:szCs w:val="21"/>
        </w:rPr>
        <w:t xml:space="preserve">    共读书籍、教师学习摘录</w:t>
      </w:r>
    </w:p>
    <w:p>
      <w:pPr>
        <w:spacing w:line="360" w:lineRule="auto"/>
        <w:rPr>
          <w:szCs w:val="21"/>
        </w:rPr>
      </w:pPr>
      <w:r>
        <w:rPr>
          <w:szCs w:val="21"/>
        </w:rPr>
        <w:drawing>
          <wp:inline distT="0" distB="0" distL="0" distR="0">
            <wp:extent cx="5715000" cy="60960"/>
            <wp:effectExtent l="0" t="0" r="0" b="0"/>
            <wp:docPr id="1027" name="Picture 2"/>
            <wp:cNvGraphicFramePr/>
            <a:graphic xmlns:a="http://schemas.openxmlformats.org/drawingml/2006/main">
              <a:graphicData uri="http://schemas.openxmlformats.org/drawingml/2006/picture">
                <pic:pic xmlns:pic="http://schemas.openxmlformats.org/drawingml/2006/picture">
                  <pic:nvPicPr>
                    <pic:cNvPr id="1027" name="Picture 2"/>
                    <pic:cNvPicPr/>
                  </pic:nvPicPr>
                  <pic:blipFill>
                    <a:blip r:embed="rId4" cstate="print"/>
                    <a:srcRect/>
                    <a:stretch>
                      <a:fillRect/>
                    </a:stretch>
                  </pic:blipFill>
                  <pic:spPr>
                    <a:xfrm>
                      <a:off x="0" y="0"/>
                      <a:ext cx="5715000" cy="60960"/>
                    </a:xfrm>
                    <a:prstGeom prst="rect">
                      <a:avLst/>
                    </a:prstGeom>
                    <a:ln>
                      <a:noFill/>
                    </a:ln>
                  </pic:spPr>
                </pic:pic>
              </a:graphicData>
            </a:graphic>
          </wp:inline>
        </w:drawing>
      </w:r>
    </w:p>
    <w:p>
      <w:pPr>
        <w:spacing w:line="360" w:lineRule="auto"/>
        <w:rPr>
          <w:rFonts w:hint="eastAsia" w:ascii="仿宋_GB2312" w:hAnsi="宋体" w:eastAsia="仿宋_GB2312"/>
          <w:b/>
          <w:bCs/>
          <w:sz w:val="32"/>
          <w:szCs w:val="32"/>
        </w:rPr>
      </w:pPr>
      <w:r>
        <w:rPr>
          <w:rFonts w:hint="eastAsia" w:ascii="仿宋_GB2312" w:hAnsi="宋体" w:eastAsia="仿宋_GB2312"/>
          <w:b/>
          <w:bCs/>
          <w:sz w:val="32"/>
          <w:szCs w:val="32"/>
        </w:rPr>
        <w:t>【本期打卡话题】</w:t>
      </w:r>
    </w:p>
    <w:p>
      <w:pPr>
        <w:spacing w:line="360" w:lineRule="auto"/>
        <w:rPr>
          <w:rFonts w:hint="eastAsia" w:ascii="宋体" w:hAnsi="宋体" w:eastAsia="宋体" w:cs="宋体"/>
          <w:b w:val="0"/>
          <w:bCs w:val="0"/>
          <w:sz w:val="24"/>
          <w:szCs w:val="24"/>
        </w:rPr>
      </w:pPr>
      <w:r>
        <w:rPr>
          <w:rFonts w:hint="eastAsia" w:ascii="宋体" w:hAnsi="宋体" w:eastAsia="宋体" w:cs="宋体"/>
          <w:b w:val="0"/>
          <w:bCs w:val="0"/>
          <w:sz w:val="24"/>
          <w:szCs w:val="24"/>
        </w:rPr>
        <w:t>1、0-3岁幼儿教育框架强调了“支持性成人”的重要性，请展开拓展阅读，谈谈</w:t>
      </w:r>
    </w:p>
    <w:p>
      <w:pPr>
        <w:spacing w:line="360" w:lineRule="auto"/>
        <w:rPr>
          <w:rFonts w:hint="eastAsia" w:ascii="宋体" w:hAnsi="宋体" w:eastAsia="宋体" w:cs="宋体"/>
          <w:b w:val="0"/>
          <w:bCs w:val="0"/>
          <w:sz w:val="24"/>
          <w:szCs w:val="24"/>
        </w:rPr>
      </w:pPr>
      <w:r>
        <w:rPr>
          <w:rFonts w:hint="eastAsia" w:ascii="宋体" w:hAnsi="宋体" w:eastAsia="宋体" w:cs="宋体"/>
          <w:b w:val="0"/>
          <w:bCs w:val="0"/>
          <w:sz w:val="24"/>
          <w:szCs w:val="24"/>
        </w:rPr>
        <w:t>你是怎么理解“支持性成人”的。</w:t>
      </w:r>
    </w:p>
    <w:p>
      <w:pPr>
        <w:spacing w:line="360" w:lineRule="auto"/>
        <w:rPr>
          <w:rFonts w:hint="eastAsia" w:ascii="宋体" w:hAnsi="宋体" w:eastAsia="宋体" w:cs="宋体"/>
          <w:b w:val="0"/>
          <w:bCs w:val="0"/>
          <w:sz w:val="24"/>
          <w:szCs w:val="24"/>
        </w:rPr>
      </w:pPr>
      <w:r>
        <w:rPr>
          <w:rFonts w:hint="eastAsia" w:ascii="宋体" w:hAnsi="宋体" w:eastAsia="宋体" w:cs="宋体"/>
          <w:b w:val="0"/>
          <w:bCs w:val="0"/>
          <w:sz w:val="24"/>
          <w:szCs w:val="24"/>
        </w:rPr>
        <w:t>2、通过阅读，结合教育实践，谈谈“观察与课程的关系”，请举例说明。</w:t>
      </w:r>
    </w:p>
    <w:p>
      <w:pPr>
        <w:spacing w:line="360" w:lineRule="auto"/>
        <w:rPr>
          <w:rFonts w:ascii="仿宋_GB2312" w:hAnsi="宋体" w:eastAsia="仿宋_GB2312"/>
          <w:szCs w:val="21"/>
        </w:rPr>
      </w:pPr>
      <w:r>
        <w:rPr>
          <w:rFonts w:hint="eastAsia" w:ascii="仿宋_GB2312" w:hAnsi="宋体" w:eastAsia="仿宋_GB2312"/>
          <w:b/>
          <w:bCs/>
          <w:sz w:val="32"/>
          <w:szCs w:val="32"/>
        </w:rPr>
        <w:t>【晒晒阅读热度】</w:t>
      </w:r>
    </w:p>
    <w:p>
      <w:pPr>
        <w:spacing w:line="360" w:lineRule="auto"/>
        <w:ind w:firstLine="482" w:firstLineChars="200"/>
        <w:rPr>
          <w:rFonts w:ascii="仿宋_GB2312" w:hAnsi="宋体"/>
          <w:b/>
          <w:bCs/>
          <w:sz w:val="24"/>
        </w:rPr>
      </w:pPr>
      <w:r>
        <w:rPr>
          <w:rFonts w:hint="eastAsia" w:ascii="宋体" w:hAnsi="宋体"/>
          <w:b/>
          <w:bCs/>
          <w:sz w:val="24"/>
        </w:rPr>
        <w:t>◆</w:t>
      </w:r>
      <w:r>
        <w:rPr>
          <w:rFonts w:hint="eastAsia" w:ascii="宋体" w:hAnsi="宋体"/>
          <w:sz w:val="24"/>
        </w:rPr>
        <w:t>本期共有</w:t>
      </w:r>
      <w:r>
        <w:rPr>
          <w:rFonts w:hint="eastAsia" w:ascii="宋体" w:hAnsi="宋体"/>
          <w:sz w:val="24"/>
          <w:lang w:val="en-US" w:eastAsia="zh-CN"/>
        </w:rPr>
        <w:t>15</w:t>
      </w:r>
      <w:r>
        <w:rPr>
          <w:rFonts w:hint="eastAsia" w:ascii="宋体" w:hAnsi="宋体"/>
          <w:sz w:val="24"/>
        </w:rPr>
        <w:t>位老师参与打卡，共发布条状态，每位成员都能围绕话题展开阅读，结合话题进行阅读及罗列，对在与阅读中产生的疑惑也进行了拓展阅读与思考，获得了新理解。并且阅读本章节中能结合本书中的观点，结合幼儿园的一日活动进行思考。</w:t>
      </w:r>
    </w:p>
    <w:p>
      <w:pPr>
        <w:spacing w:line="360" w:lineRule="auto"/>
        <w:ind w:firstLine="482" w:firstLineChars="200"/>
        <w:rPr>
          <w:rFonts w:hint="eastAsia" w:ascii="宋体" w:hAnsi="宋体"/>
          <w:sz w:val="24"/>
        </w:rPr>
      </w:pPr>
      <w:r>
        <w:rPr>
          <w:rFonts w:hint="eastAsia" w:ascii="宋体" w:hAnsi="宋体"/>
          <w:b/>
          <w:bCs/>
          <w:sz w:val="24"/>
        </w:rPr>
        <w:t>◆本期进行拓展阅读的老师有</w:t>
      </w:r>
      <w:r>
        <w:rPr>
          <w:rFonts w:hint="eastAsia" w:ascii="宋体" w:hAnsi="宋体"/>
          <w:sz w:val="24"/>
        </w:rPr>
        <w:t>：顾一丹、陈珺、</w:t>
      </w:r>
      <w:r>
        <w:rPr>
          <w:rFonts w:hint="eastAsia" w:ascii="宋体" w:hAnsi="宋体"/>
          <w:sz w:val="24"/>
          <w:lang w:val="en-US" w:eastAsia="zh-CN"/>
        </w:rPr>
        <w:t>徐嘉宁、王敏威、谭雨菲、</w:t>
      </w:r>
      <w:r>
        <w:rPr>
          <w:rFonts w:hint="eastAsia" w:ascii="宋体" w:hAnsi="宋体"/>
          <w:sz w:val="24"/>
        </w:rPr>
        <w:t>王婷、吴玉</w:t>
      </w:r>
      <w:r>
        <w:rPr>
          <w:rFonts w:hint="eastAsia" w:ascii="宋体" w:hAnsi="宋体"/>
          <w:sz w:val="24"/>
          <w:lang w:eastAsia="zh-CN"/>
        </w:rPr>
        <w:t>、</w:t>
      </w:r>
      <w:r>
        <w:rPr>
          <w:rFonts w:hint="eastAsia" w:ascii="宋体" w:hAnsi="宋体"/>
          <w:sz w:val="24"/>
        </w:rPr>
        <w:t>刘娜、於佳、</w:t>
      </w:r>
      <w:r>
        <w:rPr>
          <w:rFonts w:hint="eastAsia" w:ascii="宋体" w:hAnsi="宋体"/>
          <w:sz w:val="24"/>
          <w:lang w:val="en-US" w:eastAsia="zh-CN"/>
        </w:rPr>
        <w:t>赵亚维、赵振莹、</w:t>
      </w:r>
      <w:r>
        <w:rPr>
          <w:rFonts w:hint="eastAsia" w:ascii="宋体" w:hAnsi="宋体"/>
          <w:sz w:val="24"/>
        </w:rPr>
        <w:t>王群倩、黄丽娜、</w:t>
      </w:r>
      <w:r>
        <w:rPr>
          <w:rFonts w:hint="eastAsia" w:ascii="宋体" w:hAnsi="宋体"/>
          <w:sz w:val="24"/>
          <w:lang w:val="en-US" w:eastAsia="zh-CN"/>
        </w:rPr>
        <w:t>耿智蔚、李诗婷</w:t>
      </w:r>
    </w:p>
    <w:p>
      <w:pPr>
        <w:spacing w:line="360" w:lineRule="auto"/>
        <w:ind w:firstLine="482" w:firstLineChars="200"/>
      </w:pPr>
      <w:r>
        <w:rPr>
          <w:rFonts w:hint="eastAsia"/>
          <w:b/>
          <w:bCs/>
          <w:sz w:val="24"/>
        </w:rPr>
        <w:t>◆相关参考文献：</w:t>
      </w:r>
    </w:p>
    <w:p>
      <w:pPr>
        <w:spacing w:line="360" w:lineRule="auto"/>
        <w:ind w:firstLine="480" w:firstLineChars="200"/>
        <w:rPr>
          <w:rFonts w:hint="eastAsia"/>
          <w:sz w:val="24"/>
          <w:lang w:eastAsia="zh-CN"/>
        </w:rPr>
      </w:pPr>
      <w:r>
        <w:rPr>
          <w:rFonts w:hint="eastAsia"/>
          <w:sz w:val="24"/>
        </w:rPr>
        <w:t>《</w:t>
      </w:r>
      <w:r>
        <w:rPr>
          <w:rFonts w:hint="eastAsia"/>
          <w:sz w:val="24"/>
          <w:lang w:val="en-US" w:eastAsia="zh-CN"/>
        </w:rPr>
        <w:t>3-6岁儿童学习与发展指南</w:t>
      </w:r>
      <w:r>
        <w:rPr>
          <w:rFonts w:hint="eastAsia"/>
          <w:sz w:val="24"/>
        </w:rPr>
        <w:t>》</w:t>
      </w:r>
      <w:r>
        <w:rPr>
          <w:rFonts w:hint="eastAsia"/>
          <w:sz w:val="24"/>
          <w:lang w:eastAsia="zh-CN"/>
        </w:rPr>
        <w:t>教育部</w:t>
      </w:r>
    </w:p>
    <w:p>
      <w:pPr>
        <w:spacing w:line="360" w:lineRule="auto"/>
        <w:ind w:firstLine="480" w:firstLineChars="200"/>
        <w:rPr>
          <w:rFonts w:hint="eastAsia"/>
          <w:sz w:val="24"/>
          <w:lang w:eastAsia="zh-CN"/>
        </w:rPr>
      </w:pPr>
      <w:r>
        <w:rPr>
          <w:rFonts w:hint="eastAsia"/>
          <w:sz w:val="24"/>
        </w:rPr>
        <w:t>《幼儿园</w:t>
      </w:r>
      <w:r>
        <w:rPr>
          <w:rFonts w:hint="eastAsia"/>
          <w:sz w:val="24"/>
          <w:lang w:eastAsia="zh-CN"/>
        </w:rPr>
        <w:t>教育指导纲要</w:t>
      </w:r>
      <w:r>
        <w:rPr>
          <w:rFonts w:hint="eastAsia"/>
          <w:sz w:val="24"/>
        </w:rPr>
        <w:t>》</w:t>
      </w:r>
      <w:r>
        <w:rPr>
          <w:rFonts w:hint="eastAsia"/>
          <w:sz w:val="24"/>
          <w:lang w:eastAsia="zh-CN"/>
        </w:rPr>
        <w:t>教育部</w:t>
      </w:r>
    </w:p>
    <w:p>
      <w:pPr>
        <w:spacing w:line="360" w:lineRule="auto"/>
        <w:ind w:firstLine="480" w:firstLineChars="200"/>
        <w:rPr>
          <w:rFonts w:hint="default"/>
          <w:sz w:val="24"/>
          <w:lang w:val="en-US" w:eastAsia="zh-CN"/>
        </w:rPr>
      </w:pPr>
      <w:r>
        <w:rPr>
          <w:rFonts w:hint="eastAsia"/>
          <w:sz w:val="24"/>
          <w:lang w:eastAsia="zh-CN"/>
        </w:rPr>
        <w:t>《</w:t>
      </w:r>
      <w:r>
        <w:rPr>
          <w:rFonts w:hint="eastAsia"/>
          <w:sz w:val="24"/>
          <w:lang w:val="en-US" w:eastAsia="zh-CN"/>
        </w:rPr>
        <w:t>观察儿童——儿童行为观察记录指南</w:t>
      </w:r>
      <w:r>
        <w:rPr>
          <w:rFonts w:hint="eastAsia"/>
          <w:sz w:val="24"/>
          <w:lang w:eastAsia="zh-CN"/>
        </w:rPr>
        <w:t>》</w:t>
      </w:r>
      <w:r>
        <w:rPr>
          <w:rFonts w:hint="eastAsia"/>
          <w:sz w:val="24"/>
          <w:lang w:val="en-US" w:eastAsia="zh-CN"/>
        </w:rPr>
        <w:t>沃伦.R.本森特</w:t>
      </w:r>
    </w:p>
    <w:p>
      <w:pPr>
        <w:spacing w:line="360" w:lineRule="auto"/>
        <w:ind w:firstLine="480" w:firstLineChars="200"/>
        <w:rPr>
          <w:rFonts w:hint="eastAsia" w:ascii="宋体" w:hAnsi="宋体"/>
          <w:b w:val="0"/>
          <w:bCs w:val="0"/>
          <w:sz w:val="24"/>
          <w:lang w:val="en-US" w:eastAsia="zh-CN"/>
        </w:rPr>
      </w:pPr>
      <w:r>
        <w:rPr>
          <w:rFonts w:hint="eastAsia" w:ascii="宋体" w:hAnsi="宋体"/>
          <w:b w:val="0"/>
          <w:bCs w:val="0"/>
          <w:sz w:val="24"/>
          <w:lang w:val="en-US" w:eastAsia="zh-CN"/>
        </w:rPr>
        <w:t>《幼儿园区域中教师的观察与评价》徐华</w:t>
      </w:r>
    </w:p>
    <w:p>
      <w:pPr>
        <w:spacing w:line="360" w:lineRule="auto"/>
        <w:ind w:firstLine="480" w:firstLineChars="200"/>
        <w:rPr>
          <w:rFonts w:hint="default" w:ascii="宋体" w:hAnsi="宋体"/>
          <w:b w:val="0"/>
          <w:bCs w:val="0"/>
          <w:sz w:val="24"/>
          <w:lang w:val="en-US" w:eastAsia="zh-CN"/>
        </w:rPr>
      </w:pPr>
    </w:p>
    <w:p>
      <w:pPr>
        <w:spacing w:line="360" w:lineRule="auto"/>
        <w:rPr>
          <w:rFonts w:ascii="仿宋_GB2312" w:hAnsi="宋体" w:eastAsia="仿宋_GB2312"/>
          <w:szCs w:val="21"/>
        </w:rPr>
      </w:pPr>
      <w:r>
        <w:rPr>
          <w:rFonts w:hint="eastAsia" w:ascii="仿宋_GB2312" w:hAnsi="宋体" w:eastAsia="仿宋_GB2312"/>
          <w:b/>
          <w:bCs/>
          <w:sz w:val="32"/>
          <w:szCs w:val="32"/>
        </w:rPr>
        <w:t>【晒晒阅读收获】：</w:t>
      </w:r>
    </w:p>
    <w:p>
      <w:pPr>
        <w:spacing w:line="360" w:lineRule="auto"/>
        <w:jc w:val="left"/>
        <w:rPr>
          <w:rFonts w:hint="eastAsia" w:ascii="宋体" w:hAnsi="宋体" w:cs="宋体"/>
          <w:b/>
          <w:bCs/>
          <w:color w:val="FF0000"/>
          <w:sz w:val="24"/>
          <w:highlight w:val="lightGray"/>
          <w:lang w:eastAsia="zh-CN"/>
        </w:rPr>
      </w:pPr>
      <w:r>
        <w:rPr>
          <w:rFonts w:hint="eastAsia" w:ascii="宋体" w:hAnsi="宋体"/>
          <w:b/>
          <w:bCs/>
          <w:color w:val="FF0000"/>
          <w:sz w:val="24"/>
          <w:highlight w:val="lightGray"/>
          <w:shd w:val="pct10" w:color="auto" w:fill="FFFFFF"/>
          <w:lang w:eastAsia="zh-CN"/>
        </w:rPr>
        <w:t>收获一</w:t>
      </w:r>
      <w:r>
        <w:rPr>
          <w:rFonts w:hint="eastAsia" w:ascii="宋体" w:hAnsi="宋体" w:cs="宋体"/>
          <w:b/>
          <w:bCs/>
          <w:color w:val="FF0000"/>
          <w:sz w:val="24"/>
          <w:highlight w:val="lightGray"/>
        </w:rPr>
        <w:t>：</w:t>
      </w:r>
      <w:r>
        <w:rPr>
          <w:rFonts w:hint="eastAsia" w:ascii="宋体" w:hAnsi="宋体" w:cs="宋体"/>
          <w:b/>
          <w:bCs/>
          <w:color w:val="FF0000"/>
          <w:sz w:val="24"/>
          <w:highlight w:val="lightGray"/>
          <w:lang w:eastAsia="zh-CN"/>
        </w:rPr>
        <w:t>书中精华</w:t>
      </w:r>
    </w:p>
    <w:p>
      <w:pPr>
        <w:numPr>
          <w:ilvl w:val="0"/>
          <w:numId w:val="0"/>
        </w:numPr>
        <w:spacing w:line="360" w:lineRule="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（一）</w:t>
      </w:r>
      <w:r>
        <w:rPr>
          <w:rFonts w:hint="eastAsia" w:ascii="宋体" w:hAnsi="宋体" w:cs="宋体"/>
          <w:b/>
          <w:bCs/>
          <w:sz w:val="24"/>
          <w:szCs w:val="24"/>
          <w:lang w:val="en-US" w:eastAsia="zh-CN"/>
        </w:rPr>
        <w:t>0-3岁幼儿教育框架</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1、</w:t>
      </w:r>
      <w:r>
        <w:rPr>
          <w:rFonts w:hint="eastAsia" w:ascii="宋体" w:hAnsi="宋体" w:cs="宋体"/>
          <w:b w:val="0"/>
          <w:bCs w:val="0"/>
          <w:sz w:val="24"/>
          <w:szCs w:val="24"/>
          <w:lang w:val="en-US" w:eastAsia="zh-CN"/>
        </w:rPr>
        <w:t>什么是0-3岁幼儿教育框架</w:t>
      </w:r>
    </w:p>
    <w:p>
      <w:pPr>
        <w:numPr>
          <w:ilvl w:val="0"/>
          <w:numId w:val="0"/>
        </w:numPr>
        <w:spacing w:line="360" w:lineRule="auto"/>
        <w:ind w:leftChars="0" w:firstLine="480" w:firstLineChars="200"/>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0-3岁幼儿教育框架旨在为那些以出生至3岁幼儿为工作对象的人提供支持。其关注点首先在儿童，而不是学科或发展领域。这一框架非常强调对儿童进行观察并利用这些信息为儿童设计适宜的活动和经验。</w:t>
      </w:r>
    </w:p>
    <w:p>
      <w:pPr>
        <w:numPr>
          <w:ilvl w:val="0"/>
          <w:numId w:val="1"/>
        </w:numPr>
        <w:spacing w:line="360" w:lineRule="auto"/>
        <w:rPr>
          <w:rFonts w:hint="eastAsia" w:ascii="宋体" w:hAnsi="宋体" w:eastAsia="宋体" w:cs="宋体"/>
          <w:b w:val="0"/>
          <w:bCs w:val="0"/>
          <w:sz w:val="24"/>
          <w:szCs w:val="24"/>
          <w:lang w:val="en-US" w:eastAsia="zh-CN"/>
        </w:rPr>
      </w:pPr>
      <w:r>
        <w:rPr>
          <w:rFonts w:hint="eastAsia" w:ascii="宋体" w:hAnsi="宋体" w:cs="宋体"/>
          <w:b w:val="0"/>
          <w:bCs w:val="0"/>
          <w:sz w:val="24"/>
          <w:szCs w:val="24"/>
          <w:lang w:val="en-US" w:eastAsia="zh-CN"/>
        </w:rPr>
        <w:t>如</w:t>
      </w:r>
      <w:r>
        <w:rPr>
          <w:rFonts w:hint="eastAsia" w:ascii="宋体" w:hAnsi="宋体" w:eastAsia="宋体" w:cs="宋体"/>
          <w:b w:val="0"/>
          <w:bCs w:val="0"/>
          <w:sz w:val="24"/>
          <w:szCs w:val="24"/>
          <w:lang w:val="en-US" w:eastAsia="zh-CN"/>
        </w:rPr>
        <w:t>何推进早期幼儿在不同学习领域中的教育质量提供的科学依据</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1.教育原则</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此要素中包含了两个子要素，即尊重、回应、互动性交流，以及通过有意义的游戏来学习。尊重、回应、互动性交流是与婴幼儿建立信任关系的前提条件。因此，在这个要素的观测指标中，明确要求培育师在与婴幼儿互动时要注意保持温暖、愉悦的语言和身体动作，积极地、及时地回应婴幼儿当下的需要，让婴幼儿感到安全、被尊重、被理解，意识到自己在他人眼中是重要的。</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有意义的游戏不仅要满足婴幼儿的兴趣和需要，还要促进他们的学习与发展。培育师需为婴幼儿提供蕴含各种有益经验且适合不同发展水平幼儿的感官材料，如水、沙、面团等，并根据所观察到婴幼儿在游戏中的各种学习表现和发展水平，规划更具发展适宜性的游戏活动。</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2.社会性与情感发展</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这部分包含了两个子要素，即自我意识发展和与他人建立关系。在帮助幼儿发展自我意识时，培育师需以温暖且内心平静的教态与婴幼儿互动，并时刻帮助他们觉察自己和他人的感受，并通过观察来规划一些有益于幼儿正向情绪发展的活动。</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发展与他人建立关系方面，主要的观测指标指向培育师要在一日生活中鼓励并帮助婴幼儿学习的正向行为，如对同伴或培育师示好，轮流拿取玩具，和其他婴幼儿在一起游戏等。培育师要根据所观察的信息，规划有关与他人建立关系的社会性活动，鼓励幼儿以正向行为与他人互动。</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3.语言发展</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这方面包含了两个子要素，即听说能力和早期阅读能力。在听说能力的观察指标中，提出了培育师是语言规范表述的榜样者，要使用与婴幼儿语言能力相符的言语，并有意识地向婴幼儿描述当下正在进行的活动或发生的事件。培育师还需为婴幼儿提供大量的不同载体的语言活动，如唱诵歌谣、讲故事、看图说话等，让他们获得丰富的听说活动的体验。</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早期阅读能力方面，主要考察的是为婴幼儿提供读物的数量和摆放位置的合理性；每天故事时段的安排，以及倾听大量且不同题材故事的机会；或运用故事延伸各种创造性的活动，让婴幼儿自选书籍或规划适宜性的阅读活动，来培养他们对图书感兴趣。</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4.身体动作能力发展</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此要素中共包含了三个方面，即运动觉知与粗大动作技能，运动觉知与精细动作技能，健康、营养卫生和安全。在运动觉知与粗大运动技能方面，培育师需要为婴幼儿提供在不同种类器材和设备进行粗大运动技能的练习，并确保婴幼儿在安全的环境中进行自由移动身体，以及确保锻炼的频率和机会。培育师也需根据所观察到的婴幼儿身体发育和动作技能发展状况的信息提供相应支持性活动，如为有意愿学习站立的婴儿提供高度适宜且安全的扶杆等。</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运动觉知与精细动作技能方面，培育师需在日常生活中为婴幼儿提供多样化、发展适应性、能自行操作的游戏材料，如彩泥、小积木、感官板等，发展他们手眼协调的能力。此外，培育师要在观察基础上为婴幼儿提供自己抓握奶瓶、手握勺子舀饭等自助活动机会，进一步发展他们的精细动作技能和培養初步的自我服务意识。</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健康、营养、卫生和安全方面，培育师要通过角色扮演、故事阅读、歌谣唱诵等方式，帮助婴幼儿养成健康饮食习惯、清洁卫生以及基本安全保护的意识，并在观察的基础上，为婴幼儿规划促进其自我保护、自我照顾和自我保健的活动。</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5.审美能力的发展</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此要素中共包含了两个子要素，即视觉艺术探索和音乐与律动。在视觉艺术探索方面，培育师需为婴幼儿提供多样性、发展适宜性和安全性的美劳材料和工具，让他们探索有关艺术元素，如线条、色彩、形状、材质等，并鼓励婴幼儿尽情进行自我探索和创意表达。</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音乐与律动探索方面，培育师需提供丰富多样的玩具乐器，或为婴幼儿示范弹奏不同种族文化的真乐器和哼唱不同语言的歌曲，或提供能发出声响的器具，让他们探索声音和韵律的变化，并跟随音乐或声音韵律摆动身体，感知音乐旋律。</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6.早期数学和自然环境</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此要素中共包含了早期数学感知能力发展和对自然环境的探索。在早期数学感知能力方面，培育师需在日常生活中帮助婴幼儿增强数学是无处不在的意识，并通过在日常生活中的各种活动来加强婴幼儿理解和感知数学在生活中的重要性与意义。</w:t>
      </w:r>
    </w:p>
    <w:p>
      <w:pPr>
        <w:numPr>
          <w:ilvl w:val="0"/>
          <w:numId w:val="0"/>
        </w:numPr>
        <w:spacing w:line="360" w:lineRule="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探索自然环境方面，培育师可以运用抱或手推车带婴幼儿到户外散步，观察并谈论沿途中各种动植物、天气、昆虫等的特征，或在活动室或园所门口种植无毒无害的植物和饲养一些小动物，引领婴幼儿进行观察和谈论相关话题，激发他们对探索自然环境的好奇心和欲望。</w:t>
      </w:r>
    </w:p>
    <w:p>
      <w:pPr>
        <w:numPr>
          <w:ilvl w:val="0"/>
          <w:numId w:val="2"/>
        </w:numPr>
        <w:spacing w:line="360" w:lineRule="auto"/>
        <w:rPr>
          <w:rFonts w:hint="eastAsia" w:ascii="宋体" w:hAnsi="宋体" w:cs="宋体"/>
          <w:b/>
          <w:bCs/>
          <w:sz w:val="24"/>
          <w:szCs w:val="24"/>
          <w:lang w:val="en-US" w:eastAsia="zh-CN"/>
        </w:rPr>
      </w:pPr>
      <w:r>
        <w:rPr>
          <w:rFonts w:hint="eastAsia" w:ascii="宋体" w:hAnsi="宋体" w:cs="宋体"/>
          <w:b/>
          <w:bCs/>
          <w:sz w:val="24"/>
          <w:szCs w:val="24"/>
          <w:lang w:val="en-US" w:eastAsia="zh-CN"/>
        </w:rPr>
        <w:t>基础阶段课程指南</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1、早期教育的原则</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有效的教育既要有一个适宜的课程，也要求实践工作者理解并有能力落实该课程要求；</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有效的教育要求实践工作者了解幼儿在早期各方面(身体、智力、情感、社会性)发展迅速；</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实践工作者应确保所有幼儿获得归属感、安全感和价值感：学习应当建立在幼儿已有的能力基础上；</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幼儿不能因为种族、文化或宗教、母语、家庭背景、特殊的教育需要、缺陷、性别或能力而遭到排斥或被置于不利地位；实践工作者和家长应该在一个互相尊重的气氛中共同工作，在其中，幼儿可获得安全感和信心；</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为确保课程有效，应精心建构早期课程；</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实践工作者必须有能力观察幼儿，并给予幼儿适宜的反馈；通过精心设计的、有目的的活动和适宜的介入实践工作者可以引导幼儿参与学习过程；</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为了使幼儿获得丰富的、激励性的经验，应精心设计和组织学习环境：</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最重要的是，幼儿有效的学习和发展需要实践工作者提供高质量的保育和教育。</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2、早期教育原则运用</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将理论运用于实践；</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满足幼儿的不同需要；</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关注有特殊教育需要的幼儿和残疾幼儿；关注英语为非母语的幼儿；</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学与教的活动；</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游戏</w:t>
      </w:r>
    </w:p>
    <w:p>
      <w:pPr>
        <w:numPr>
          <w:ilvl w:val="0"/>
          <w:numId w:val="3"/>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如何支持并发展六大学习领域的教育实践</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个性、社会性和情绪情感的发展”这一学习领域主要关注儿童如何与他人一起游戏、如何建立人际关系、如何学习分享和轮流。同时，这一部分还将探讨儿童如何开始懂得他人有不同的需要和价值观，如何理解共同的价值观和行为标准的需要。通过在基础阶段初期进行的经常性的观察，实践工作者可以收集大量的信息，并结合发展里程碑的内容分析儿童在这些学习领域的最初经验和进步，评价儿童在这些领域的发展。发展里程碑还说明了成人是如何支持儿童的学习的(不仅仅是这一领域的学习，而是所有六个领域的学习)。</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交流、语言和读写是儿童在所有领域的发展和学习都需要有运用语言以及交流的机会，因此，儿童所处的环境应该创造更多的机会以鼓励他们运用语言技能。儿童还需要有各种途径来接触各种形式的印刷品，并且认识到印刷品是一种交流方式。在儿童谈论自己的经验时，我们还应该为他们创造倾听和被倾听的机会。很自然地，他们会在一些活动中保持安静，而在另一些活动中变得更加健谈。例如，他们在看书或听故事时会变得很安静，而在沙盘游戏中会变得声音很大。在外界的支持下，儿童将开始学习运用语言的不同方法，如提问，描述活动、经验和感情，通过谈判解决彼此之间的问题，重述或回忆事件等。在这一领域的学习中，信心和动机起着重要作用。重要的是，应该尽可能多地让儿童获得这些经验，以鼓励儿童在零散的时间积极地交流并运用语言。计划的编制和敏感而全面的观察，有着内在的联系。</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数学能力评价部分的第三个方面是形状和空间。许多实践工作者虽然并未真正意识到这一点，但却利用语言支持了这一方面的发展，如谈论铺设路面的石头、门或窗的形状。“下、上、前、后、长一些、短一些”等短语已成为日常会话的一部分。</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关于世界的知识和理解和其他领域的学习一样，实践工作者应该为儿童提供第一手经验，以鼓励他们进行探索、解决问题、提问，并发展他们的预测、</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决策、讨论和批判性思维等能力。</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儿童的成长和发展都很快，其中包括发展他们的身体与运动控制能力、协调能力以及自信心。在细心观察的基础上所设计的活动，应该为儿童积极性、挑战性的发展提供机会。</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创造性发展关注的是儿童如何运用所有的感官表达自己的情感、观点和选择。</w:t>
      </w: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创造性的发展可以通过多种途径获得，这些途径包括音乐、动作以及运用想象、交流等方式表达自己和自己的想法。这一学习领域对于成功和有效的发展是必要的。创造性使儿童能够在不同的学习领域之间建立联系，进而更好地理解周围的环境。儿童需要在安全而自信的前提下，尝试运用不同的方式去做事情，也需要以自己的速度去思考和设计。重要的是，要让他们意识到创造并不总是自然发生的。</w:t>
      </w:r>
    </w:p>
    <w:p>
      <w:pPr>
        <w:spacing w:line="360" w:lineRule="auto"/>
        <w:jc w:val="left"/>
        <w:rPr>
          <w:rFonts w:hint="eastAsia"/>
          <w:b/>
          <w:bCs/>
          <w:color w:val="FF0000"/>
          <w:sz w:val="24"/>
          <w:szCs w:val="24"/>
          <w:highlight w:val="lightGray"/>
          <w:lang w:eastAsia="zh-CN"/>
        </w:rPr>
      </w:pPr>
      <w:r>
        <w:rPr>
          <w:rFonts w:hint="eastAsia"/>
          <w:b/>
          <w:bCs/>
          <w:color w:val="FF0000"/>
          <w:sz w:val="24"/>
          <w:szCs w:val="24"/>
          <w:highlight w:val="lightGray"/>
          <w:lang w:eastAsia="zh-CN"/>
        </w:rPr>
        <w:t>收获二：拓展阅读</w:t>
      </w:r>
    </w:p>
    <w:p>
      <w:pPr>
        <w:spacing w:line="360" w:lineRule="auto"/>
        <w:jc w:val="left"/>
        <w:rPr>
          <w:rFonts w:hint="eastAsia" w:ascii="宋体" w:hAnsi="宋体" w:eastAsia="宋体" w:cs="宋体"/>
          <w:b/>
          <w:bCs/>
          <w:sz w:val="24"/>
          <w:szCs w:val="24"/>
        </w:rPr>
      </w:pPr>
      <w:r>
        <w:rPr>
          <w:rFonts w:hint="eastAsia" w:ascii="宋体" w:hAnsi="宋体" w:cs="宋体"/>
          <w:b/>
          <w:bCs/>
          <w:sz w:val="24"/>
          <w:szCs w:val="24"/>
          <w:lang w:val="en-US" w:eastAsia="zh-CN"/>
        </w:rPr>
        <w:t>话题一：</w:t>
      </w:r>
      <w:r>
        <w:rPr>
          <w:rFonts w:hint="eastAsia" w:ascii="宋体" w:hAnsi="宋体" w:eastAsia="宋体" w:cs="宋体"/>
          <w:b/>
          <w:bCs/>
          <w:sz w:val="24"/>
          <w:szCs w:val="24"/>
        </w:rPr>
        <w:t>谈谈你是怎么理解“支持性成人”的。</w:t>
      </w:r>
    </w:p>
    <w:p>
      <w:pPr>
        <w:spacing w:line="360" w:lineRule="auto"/>
        <w:jc w:val="left"/>
        <w:rPr>
          <w:rFonts w:hint="eastAsia" w:ascii="宋体" w:hAnsi="宋体" w:eastAsia="宋体" w:cs="宋体"/>
          <w:b w:val="0"/>
          <w:bCs w:val="0"/>
          <w:sz w:val="24"/>
          <w:szCs w:val="24"/>
        </w:rPr>
      </w:pPr>
      <w:r>
        <w:rPr>
          <w:rFonts w:hint="eastAsia" w:ascii="宋体" w:hAnsi="宋体" w:cs="宋体"/>
          <w:b w:val="0"/>
          <w:bCs w:val="0"/>
          <w:sz w:val="24"/>
          <w:szCs w:val="24"/>
          <w:lang w:val="en-US" w:eastAsia="zh-CN"/>
        </w:rPr>
        <w:t>1、</w:t>
      </w:r>
      <w:r>
        <w:rPr>
          <w:rFonts w:hint="eastAsia" w:ascii="宋体" w:hAnsi="宋体" w:eastAsia="宋体" w:cs="宋体"/>
          <w:b w:val="0"/>
          <w:bCs w:val="0"/>
          <w:sz w:val="24"/>
          <w:szCs w:val="24"/>
        </w:rPr>
        <w:t>树立正确的几童观，相信幼儿是积极主动的学习者 决定教师行为的不是理论，而是教师潜意识里的教育理念。]因此，教师要不断学习，逐步树立新的儿童观，认同幼儿是积极、主动的学习者。教师要 相信给了幼儿充分的自主空间，幼儿就会积极与环境互动，不断修正自己对周围世界的认知。教师要相信，幼儿的发展并不单纯依靠教师的推进，很多时候幼儿有自己的情感、意志和价值观，幼儿是和教师 具有同等生命价值的对话者，是课程实施的分享伙伴。只有建构平等的师幼关系，才能避免课程游戏 化过程中“教师教孩子游戏”的虚假游戏情境，才能激发幼儿内心真实的情感体验。因此，教师帮幼几 推进游戏时，不需要每次都“大包大揽”地帮助幼推进所有的游戏，可以在一段时间内有侧重地推进 部分或者个别游戏，让幼儿先在其他游戏中、在与环 境的交互作用中获得发展。教师在幼几游戏时扮演着观察者的角色，教师留意幼儿的发展，在一段时间后再找适宜的机会推进部分游戏。</w:t>
      </w:r>
    </w:p>
    <w:p>
      <w:pPr>
        <w:spacing w:line="360" w:lineRule="auto"/>
        <w:jc w:val="left"/>
        <w:rPr>
          <w:rFonts w:hint="eastAsia" w:ascii="宋体" w:hAnsi="宋体" w:eastAsia="宋体" w:cs="宋体"/>
          <w:b w:val="0"/>
          <w:bCs w:val="0"/>
          <w:sz w:val="24"/>
          <w:szCs w:val="24"/>
        </w:rPr>
      </w:pPr>
      <w:r>
        <w:rPr>
          <w:rFonts w:hint="eastAsia" w:ascii="宋体" w:hAnsi="宋体" w:cs="宋体"/>
          <w:b w:val="0"/>
          <w:bCs w:val="0"/>
          <w:sz w:val="24"/>
          <w:szCs w:val="24"/>
          <w:lang w:val="en-US" w:eastAsia="zh-CN"/>
        </w:rPr>
        <w:t>2、</w:t>
      </w:r>
      <w:r>
        <w:rPr>
          <w:rFonts w:hint="eastAsia" w:ascii="宋体" w:hAnsi="宋体" w:eastAsia="宋体" w:cs="宋体"/>
          <w:b w:val="0"/>
          <w:bCs w:val="0"/>
          <w:sz w:val="24"/>
          <w:szCs w:val="24"/>
        </w:rPr>
        <w:t>有童心，善于捕捉游戏推进的点有童心、童趣的教师，更善于捕捉游戏推进的点，更容易推进幼儿的游戏。因为好的游戏推进点更有探索性，能让幼儿有更多的探索空间，这样游戏 才能够不断地推进下去。自主游戏的内容有很多主题，教师不能单从成人的角度思考哪些主题值得推进，而是要关注幼儿的兴趣，发现内容生活化、有童趣、有推进性的线索。教师要想真正地理解游戏、理解儿童，只有试若再次沉浸到游戏之中，发现自己内心深处住着的那个幼儿。教师应该每犬用五分钟时间，用心去感受幼儿的乐此不疲，体验一下“瞎玩”的快乐，重新找到玩耍的快乐。玩耍之后，教师再来看幼儿的游戏，再和幼儿一起推进游戏，会有不一样的看法、做法和体验。</w:t>
      </w:r>
    </w:p>
    <w:p>
      <w:pPr>
        <w:spacing w:line="360" w:lineRule="auto"/>
        <w:jc w:val="left"/>
        <w:rPr>
          <w:rFonts w:hint="eastAsia" w:ascii="宋体" w:hAnsi="宋体" w:eastAsia="宋体" w:cs="宋体"/>
          <w:b w:val="0"/>
          <w:bCs w:val="0"/>
          <w:sz w:val="24"/>
          <w:szCs w:val="24"/>
        </w:rPr>
      </w:pPr>
      <w:r>
        <w:rPr>
          <w:rFonts w:hint="eastAsia" w:ascii="宋体" w:hAnsi="宋体" w:cs="宋体"/>
          <w:b w:val="0"/>
          <w:bCs w:val="0"/>
          <w:sz w:val="24"/>
          <w:szCs w:val="24"/>
          <w:lang w:val="en-US" w:eastAsia="zh-CN"/>
        </w:rPr>
        <w:t>3、</w:t>
      </w:r>
      <w:r>
        <w:rPr>
          <w:rFonts w:hint="eastAsia" w:ascii="宋体" w:hAnsi="宋体" w:eastAsia="宋体" w:cs="宋体"/>
          <w:b w:val="0"/>
          <w:bCs w:val="0"/>
          <w:sz w:val="24"/>
          <w:szCs w:val="24"/>
        </w:rPr>
        <w:t>有效观察，了解幼儿游戏和发展的内在需要有效观察涉及多个方面。观察的目的、观察的方法、多位教师观察的分工、对观察的分析等，这都有可能影响观察的效果。有效观察的关键是教师要树立观察是为了了解幼儿的游戏需求的观念，把握幼儿的发展水平，为支持幼儿推进游戏积累素材和经验。为了实现这个关键点，多位教师的观察不能都只是“蜻蜓点水”地四处巡视，必须有意识地持续观察，真正从幼儿的视角出发观察幼儿在做什么、说什么，甚至洞察他们在想什么。可能有些教师会问，幼儿的游戏这么分散，教师如何持续观察呢？观察没有统一的模式，需要教师根据班级的情况摸索恰当的做法。</w:t>
      </w:r>
    </w:p>
    <w:p>
      <w:pPr>
        <w:spacing w:line="360" w:lineRule="auto"/>
        <w:jc w:val="left"/>
        <w:rPr>
          <w:rFonts w:hint="eastAsia" w:ascii="宋体" w:hAnsi="宋体" w:eastAsia="宋体" w:cs="宋体"/>
          <w:b w:val="0"/>
          <w:bCs w:val="0"/>
          <w:sz w:val="24"/>
          <w:szCs w:val="24"/>
        </w:rPr>
      </w:pPr>
      <w:r>
        <w:rPr>
          <w:rFonts w:hint="eastAsia" w:ascii="宋体" w:hAnsi="宋体" w:cs="宋体"/>
          <w:b w:val="0"/>
          <w:bCs w:val="0"/>
          <w:sz w:val="24"/>
          <w:szCs w:val="24"/>
          <w:lang w:val="en-US" w:eastAsia="zh-CN"/>
        </w:rPr>
        <w:t>4、</w:t>
      </w:r>
      <w:r>
        <w:rPr>
          <w:rFonts w:hint="eastAsia" w:ascii="宋体" w:hAnsi="宋体" w:eastAsia="宋体" w:cs="宋体"/>
          <w:b w:val="0"/>
          <w:bCs w:val="0"/>
          <w:sz w:val="24"/>
          <w:szCs w:val="24"/>
        </w:rPr>
        <w:t>重视游戏的计划性，为有效推进提供支持游戏的计划性会让教师持续关注游戏项目的推进，幼儿也会有意识地持续进行相关游戏内容。教师和幼儿都需计划。首先，教师要心中有目标，要从幼儿的活动中挑选教师打算持续推进的内容。</w:t>
      </w:r>
    </w:p>
    <w:p>
      <w:pPr>
        <w:spacing w:line="360" w:lineRule="auto"/>
        <w:jc w:val="left"/>
        <w:rPr>
          <w:rFonts w:hint="eastAsia" w:ascii="宋体" w:hAnsi="宋体" w:eastAsia="宋体" w:cs="宋体"/>
          <w:b w:val="0"/>
          <w:bCs w:val="0"/>
          <w:sz w:val="24"/>
          <w:szCs w:val="24"/>
        </w:rPr>
      </w:pPr>
      <w:r>
        <w:rPr>
          <w:rFonts w:hint="eastAsia" w:ascii="宋体" w:hAnsi="宋体" w:cs="宋体"/>
          <w:b w:val="0"/>
          <w:bCs w:val="0"/>
          <w:sz w:val="24"/>
          <w:szCs w:val="24"/>
          <w:lang w:val="en-US" w:eastAsia="zh-CN"/>
        </w:rPr>
        <w:t>5、</w:t>
      </w:r>
      <w:r>
        <w:rPr>
          <w:rFonts w:hint="eastAsia" w:ascii="宋体" w:hAnsi="宋体" w:eastAsia="宋体" w:cs="宋体"/>
          <w:b w:val="0"/>
          <w:bCs w:val="0"/>
          <w:sz w:val="24"/>
          <w:szCs w:val="24"/>
        </w:rPr>
        <w:t>游戏分享要注重游戏的推进</w:t>
      </w:r>
      <w:r>
        <w:rPr>
          <w:rFonts w:hint="eastAsia" w:ascii="宋体" w:hAnsi="宋体" w:cs="宋体"/>
          <w:b w:val="0"/>
          <w:bCs w:val="0"/>
          <w:sz w:val="24"/>
          <w:szCs w:val="24"/>
          <w:lang w:eastAsia="zh-CN"/>
        </w:rPr>
        <w:t>，</w:t>
      </w:r>
      <w:r>
        <w:rPr>
          <w:rFonts w:hint="eastAsia" w:ascii="宋体" w:hAnsi="宋体" w:eastAsia="宋体" w:cs="宋体"/>
          <w:b w:val="0"/>
          <w:bCs w:val="0"/>
          <w:sz w:val="24"/>
          <w:szCs w:val="24"/>
        </w:rPr>
        <w:t>游戏后的支持主要体现在游戏评价方面。游戏的分享活动是游戏评价的一种方式，游戏的分享活动要有观察、有目的、有重点。幼儿要能在分字活动中找到玩游戏的思路，如此循环往复，幼儿就能够不断深入开展游戏。游戏分享活动的关键是教师要有推进游戏的意识，在分亨之前做好前期准备。</w:t>
      </w:r>
    </w:p>
    <w:p>
      <w:pPr>
        <w:spacing w:line="360" w:lineRule="auto"/>
        <w:jc w:val="left"/>
        <w:rPr>
          <w:rFonts w:hint="eastAsia" w:ascii="宋体" w:hAnsi="宋体" w:eastAsia="宋体" w:cs="宋体"/>
          <w:b w:val="0"/>
          <w:bCs w:val="0"/>
          <w:sz w:val="24"/>
          <w:szCs w:val="24"/>
        </w:rPr>
      </w:pPr>
      <w:r>
        <w:rPr>
          <w:rFonts w:hint="eastAsia" w:ascii="宋体" w:hAnsi="宋体" w:cs="宋体"/>
          <w:b w:val="0"/>
          <w:bCs w:val="0"/>
          <w:sz w:val="24"/>
          <w:szCs w:val="24"/>
          <w:lang w:val="en-US" w:eastAsia="zh-CN"/>
        </w:rPr>
        <w:t>6、</w:t>
      </w:r>
      <w:r>
        <w:rPr>
          <w:rFonts w:hint="eastAsia" w:ascii="宋体" w:hAnsi="宋体" w:eastAsia="宋体" w:cs="宋体"/>
          <w:b w:val="0"/>
          <w:bCs w:val="0"/>
          <w:sz w:val="24"/>
          <w:szCs w:val="24"/>
        </w:rPr>
        <w:t>适时调整材料、环境，支持游戏的推进。教师在观察幼儿游戏需要的基础上，可以通过适时调整材料、环境支持幼儿推进游戏。教师如果观察幼儿玩腻了某个游戏，或者游戏没有进一步的发展，可以静悄悄地投放别的材料。</w:t>
      </w:r>
    </w:p>
    <w:p>
      <w:pPr>
        <w:spacing w:line="360" w:lineRule="auto"/>
        <w:jc w:val="left"/>
        <w:rPr>
          <w:rFonts w:hint="eastAsia" w:ascii="宋体" w:hAnsi="宋体" w:eastAsia="宋体" w:cs="宋体"/>
          <w:b w:val="0"/>
          <w:bCs w:val="0"/>
          <w:sz w:val="24"/>
          <w:szCs w:val="24"/>
        </w:rPr>
      </w:pPr>
      <w:r>
        <w:rPr>
          <w:rFonts w:hint="eastAsia" w:ascii="宋体" w:hAnsi="宋体" w:cs="宋体"/>
          <w:b w:val="0"/>
          <w:bCs w:val="0"/>
          <w:sz w:val="24"/>
          <w:szCs w:val="24"/>
          <w:lang w:val="en-US" w:eastAsia="zh-CN"/>
        </w:rPr>
        <w:t>7、</w:t>
      </w:r>
      <w:r>
        <w:rPr>
          <w:rFonts w:hint="eastAsia" w:ascii="宋体" w:hAnsi="宋体" w:eastAsia="宋体" w:cs="宋体"/>
          <w:b w:val="0"/>
          <w:bCs w:val="0"/>
          <w:sz w:val="24"/>
          <w:szCs w:val="24"/>
        </w:rPr>
        <w:t>注重游戏活动与学习活动内容的结合。幼儿的游戏开展到一定阶段，容易因知识经验的缺乏而陷入瓶颈。这时，如果教师能够捕捉到幼儿的兴趣点和需要支持的点，适时生成相关的学习活动，丰富幼儿的经验，幼儿的游戏往往能够不断深入开展。</w:t>
      </w:r>
    </w:p>
    <w:p>
      <w:pPr>
        <w:spacing w:line="360" w:lineRule="auto"/>
        <w:rPr>
          <w:rFonts w:hint="eastAsia" w:ascii="宋体" w:hAnsi="宋体" w:eastAsia="宋体" w:cs="宋体"/>
          <w:b/>
          <w:bCs/>
          <w:sz w:val="24"/>
          <w:szCs w:val="24"/>
        </w:rPr>
      </w:pPr>
      <w:r>
        <w:rPr>
          <w:rFonts w:hint="eastAsia" w:ascii="宋体" w:hAnsi="宋体" w:cs="宋体"/>
          <w:b/>
          <w:bCs/>
          <w:sz w:val="24"/>
          <w:szCs w:val="24"/>
          <w:lang w:val="en-US" w:eastAsia="zh-CN"/>
        </w:rPr>
        <w:t>话题二：</w:t>
      </w:r>
      <w:r>
        <w:rPr>
          <w:rFonts w:hint="eastAsia" w:ascii="宋体" w:hAnsi="宋体" w:eastAsia="宋体" w:cs="宋体"/>
          <w:b/>
          <w:bCs/>
          <w:sz w:val="24"/>
          <w:szCs w:val="24"/>
        </w:rPr>
        <w:t>通过阅读，结合教育实践，谈谈“观察与课程的关系”，请举例说明。</w:t>
      </w:r>
    </w:p>
    <w:p>
      <w:pPr>
        <w:spacing w:line="360" w:lineRule="auto"/>
        <w:rPr>
          <w:rFonts w:hint="eastAsia" w:ascii="宋体" w:hAnsi="宋体" w:eastAsia="宋体" w:cs="宋体"/>
          <w:b w:val="0"/>
          <w:bCs w:val="0"/>
          <w:sz w:val="24"/>
          <w:szCs w:val="24"/>
          <w:lang w:eastAsia="zh-CN"/>
        </w:rPr>
      </w:pPr>
      <w:r>
        <w:rPr>
          <w:rFonts w:hint="eastAsia" w:ascii="宋体" w:hAnsi="宋体" w:cs="宋体"/>
          <w:b w:val="0"/>
          <w:bCs w:val="0"/>
          <w:sz w:val="24"/>
          <w:szCs w:val="24"/>
          <w:lang w:val="en-US" w:eastAsia="zh-CN"/>
        </w:rPr>
        <w:t>（1）谈观察与课程的关系</w:t>
      </w:r>
      <w:bookmarkStart w:id="0" w:name="_GoBack"/>
      <w:bookmarkEnd w:id="0"/>
    </w:p>
    <w:p>
      <w:pPr>
        <w:spacing w:line="360" w:lineRule="auto"/>
        <w:rPr>
          <w:rFonts w:hint="eastAsia" w:ascii="宋体" w:hAnsi="宋体" w:eastAsia="宋体" w:cs="宋体"/>
          <w:b w:val="0"/>
          <w:bCs w:val="0"/>
          <w:sz w:val="24"/>
          <w:szCs w:val="24"/>
        </w:rPr>
      </w:pPr>
      <w:r>
        <w:rPr>
          <w:rFonts w:hint="eastAsia" w:ascii="宋体" w:hAnsi="宋体" w:cs="宋体"/>
          <w:b w:val="0"/>
          <w:bCs w:val="0"/>
          <w:sz w:val="24"/>
          <w:szCs w:val="24"/>
          <w:lang w:val="en-US" w:eastAsia="zh-CN"/>
        </w:rPr>
        <w:t>1、了解幼儿的经验获取与兴趣需要，有助于课程的选择与开展</w:t>
      </w:r>
      <w:r>
        <w:rPr>
          <w:rFonts w:hint="eastAsia" w:ascii="宋体" w:hAnsi="宋体" w:eastAsia="宋体" w:cs="宋体"/>
          <w:b w:val="0"/>
          <w:bCs w:val="0"/>
          <w:sz w:val="24"/>
          <w:szCs w:val="24"/>
        </w:rPr>
        <w:t>幼儿经验的获取有多种途径，他们通过与教师、同伴、材料、环境、家长等的互动，不断地获取信息和积累感性经验。由于经验的获取是个体认知结构自我内化的过程，因此幼儿教师若能深入到幼儿中去观察他们的言行、倾听他们的交谈，就能抓住他们的兴趣，并且不同程度地了解到该阶段幼儿所获得的各种经验内容，能有针对性的抓取课程资源，并开展课程活动。(秋天农作物丰收，幼儿对南瓜、番薯等农作物充满兴趣，开展了认识南瓜的有关课程。)</w:t>
      </w:r>
    </w:p>
    <w:p>
      <w:pPr>
        <w:spacing w:line="360" w:lineRule="auto"/>
        <w:rPr>
          <w:rFonts w:hint="eastAsia" w:ascii="宋体" w:hAnsi="宋体" w:eastAsia="宋体" w:cs="宋体"/>
          <w:b w:val="0"/>
          <w:bCs w:val="0"/>
          <w:sz w:val="24"/>
          <w:szCs w:val="24"/>
        </w:rPr>
      </w:pPr>
      <w:r>
        <w:rPr>
          <w:rFonts w:hint="eastAsia" w:ascii="宋体" w:hAnsi="宋体" w:eastAsia="宋体" w:cs="宋体"/>
          <w:b w:val="0"/>
          <w:bCs w:val="0"/>
          <w:sz w:val="24"/>
          <w:szCs w:val="24"/>
        </w:rPr>
        <w:t>2、了解幼儿的能力水平，有效设计课程目标与课程内容</w:t>
      </w:r>
    </w:p>
    <w:p>
      <w:pPr>
        <w:spacing w:line="360" w:lineRule="auto"/>
        <w:rPr>
          <w:rFonts w:hint="eastAsia" w:ascii="宋体" w:hAnsi="宋体" w:eastAsia="宋体" w:cs="宋体"/>
          <w:b w:val="0"/>
          <w:bCs w:val="0"/>
          <w:sz w:val="24"/>
          <w:szCs w:val="24"/>
        </w:rPr>
      </w:pPr>
      <w:r>
        <w:rPr>
          <w:rFonts w:hint="eastAsia" w:ascii="宋体" w:hAnsi="宋体" w:eastAsia="宋体" w:cs="宋体"/>
          <w:b w:val="0"/>
          <w:bCs w:val="0"/>
          <w:sz w:val="24"/>
          <w:szCs w:val="24"/>
        </w:rPr>
        <w:t>教育科学研究的不断完善及现代科学教育技术的发展,已为我们提供了了解、测查幼儿发展水平的多种方式方法，但是观察仍然是幼儿教师获得幼几个体和群体信息的主要途径之一。了解幼儿的能力发展水平，对幼儿能力做出正确评估，对教师教学活动的具体设计和开展可起到重要的参考作用。对幼儿能力发展水平的测验一般是通过量表施测和观察施测两种途径。对教师而言，观察比正式的量表测量要简便易行，也更能真实地反映幼儿的客观状况。观察可以让我们更全面地了解幼儿的能力发展水平。</w:t>
      </w:r>
    </w:p>
    <w:p>
      <w:pPr>
        <w:spacing w:line="360" w:lineRule="auto"/>
        <w:rPr>
          <w:rFonts w:hint="eastAsia" w:ascii="宋体" w:hAnsi="宋体" w:eastAsia="宋体" w:cs="宋体"/>
          <w:b w:val="0"/>
          <w:bCs w:val="0"/>
          <w:sz w:val="24"/>
          <w:szCs w:val="24"/>
        </w:rPr>
      </w:pPr>
      <w:r>
        <w:rPr>
          <w:rFonts w:hint="eastAsia" w:ascii="宋体" w:hAnsi="宋体" w:eastAsia="宋体" w:cs="宋体"/>
          <w:b w:val="0"/>
          <w:bCs w:val="0"/>
          <w:sz w:val="24"/>
          <w:szCs w:val="24"/>
        </w:rPr>
        <w:t>2、了解幼儿的认知风格，优化课程中的实施方式与学习路径</w:t>
      </w:r>
    </w:p>
    <w:p>
      <w:pPr>
        <w:spacing w:line="360" w:lineRule="auto"/>
        <w:rPr>
          <w:rFonts w:hint="eastAsia" w:ascii="宋体" w:hAnsi="宋体" w:eastAsia="宋体" w:cs="宋体"/>
          <w:b w:val="0"/>
          <w:bCs w:val="0"/>
          <w:sz w:val="24"/>
          <w:szCs w:val="24"/>
        </w:rPr>
      </w:pPr>
      <w:r>
        <w:rPr>
          <w:rFonts w:hint="eastAsia" w:ascii="宋体" w:hAnsi="宋体" w:eastAsia="宋体" w:cs="宋体"/>
          <w:b w:val="0"/>
          <w:bCs w:val="0"/>
          <w:sz w:val="24"/>
          <w:szCs w:val="24"/>
        </w:rPr>
        <w:t>幼儿因其生理、心理基础及教养方式的不同，在解决问题时有不同的习惯和学习方式，即不同的认知风格。教师要使即将开展的活动能吸引幼儿，满足幼儿在活动中的不同需要，使幼儿有机会选择适合自己的活动方式并从中获得发展，就需要通过认真细致的观察，了解幼儿的兴趣以及他是如何与同伴交往、如何与环境交互作用、如何表达自己的经验等个体特点，从而了解每个幼儿的认知风格，才能在课程中采用有效的方式，促进幼儿学习。</w:t>
      </w:r>
    </w:p>
    <w:p>
      <w:pPr>
        <w:spacing w:line="360" w:lineRule="auto"/>
        <w:rPr>
          <w:rFonts w:hint="eastAsia" w:ascii="宋体" w:hAnsi="宋体" w:eastAsia="宋体" w:cs="宋体"/>
          <w:b w:val="0"/>
          <w:bCs w:val="0"/>
          <w:sz w:val="24"/>
          <w:szCs w:val="24"/>
          <w:lang w:eastAsia="zh-CN"/>
        </w:rPr>
      </w:pPr>
      <w:r>
        <w:rPr>
          <w:rFonts w:hint="eastAsia" w:ascii="宋体" w:hAnsi="宋体" w:cs="宋体"/>
          <w:b w:val="0"/>
          <w:bCs w:val="0"/>
          <w:sz w:val="24"/>
          <w:szCs w:val="24"/>
          <w:lang w:eastAsia="zh-CN"/>
        </w:rPr>
        <w:t>（</w:t>
      </w:r>
      <w:r>
        <w:rPr>
          <w:rFonts w:hint="eastAsia" w:ascii="宋体" w:hAnsi="宋体" w:cs="宋体"/>
          <w:b w:val="0"/>
          <w:bCs w:val="0"/>
          <w:sz w:val="24"/>
          <w:szCs w:val="24"/>
          <w:lang w:val="en-US" w:eastAsia="zh-CN"/>
        </w:rPr>
        <w:t>2</w:t>
      </w:r>
      <w:r>
        <w:rPr>
          <w:rFonts w:hint="eastAsia" w:ascii="宋体" w:hAnsi="宋体" w:cs="宋体"/>
          <w:b w:val="0"/>
          <w:bCs w:val="0"/>
          <w:sz w:val="24"/>
          <w:szCs w:val="24"/>
          <w:lang w:eastAsia="zh-CN"/>
        </w:rPr>
        <w:t>）</w:t>
      </w:r>
      <w:r>
        <w:rPr>
          <w:rFonts w:hint="eastAsia" w:ascii="宋体" w:hAnsi="宋体" w:cs="宋体"/>
          <w:b w:val="0"/>
          <w:bCs w:val="0"/>
          <w:sz w:val="24"/>
          <w:szCs w:val="24"/>
          <w:lang w:val="en-US" w:eastAsia="zh-CN"/>
        </w:rPr>
        <w:t>结合教育实践，举案例</w:t>
      </w:r>
    </w:p>
    <w:p>
      <w:pPr>
        <w:spacing w:line="360" w:lineRule="auto"/>
        <w:rPr>
          <w:rFonts w:hint="eastAsia" w:ascii="宋体" w:hAnsi="宋体" w:eastAsia="宋体" w:cs="宋体"/>
          <w:b w:val="0"/>
          <w:bCs w:val="0"/>
          <w:sz w:val="24"/>
          <w:szCs w:val="24"/>
        </w:rPr>
      </w:pPr>
      <w:r>
        <w:rPr>
          <w:rFonts w:hint="eastAsia"/>
          <w:b/>
          <w:bCs/>
          <w:color w:val="FF0000"/>
          <w:sz w:val="24"/>
          <w:szCs w:val="24"/>
          <w:highlight w:val="lightGray"/>
          <w:lang w:eastAsia="zh-CN"/>
        </w:rPr>
        <w:drawing>
          <wp:anchor distT="0" distB="0" distL="114300" distR="114300" simplePos="0" relativeHeight="251659264" behindDoc="0" locked="0" layoutInCell="1" allowOverlap="1">
            <wp:simplePos x="0" y="0"/>
            <wp:positionH relativeFrom="column">
              <wp:posOffset>0</wp:posOffset>
            </wp:positionH>
            <wp:positionV relativeFrom="paragraph">
              <wp:posOffset>55880</wp:posOffset>
            </wp:positionV>
            <wp:extent cx="4777105" cy="4036060"/>
            <wp:effectExtent l="0" t="0" r="1270" b="12065"/>
            <wp:wrapSquare wrapText="bothSides"/>
            <wp:docPr id="29" name="图片 29" descr="null45dcceacae765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null45dcceacae765694"/>
                    <pic:cNvPicPr>
                      <a:picLocks noChangeAspect="1"/>
                    </pic:cNvPicPr>
                  </pic:nvPicPr>
                  <pic:blipFill>
                    <a:blip r:embed="rId5"/>
                    <a:stretch>
                      <a:fillRect/>
                    </a:stretch>
                  </pic:blipFill>
                  <pic:spPr>
                    <a:xfrm>
                      <a:off x="0" y="0"/>
                      <a:ext cx="4777105" cy="4036060"/>
                    </a:xfrm>
                    <a:prstGeom prst="rect">
                      <a:avLst/>
                    </a:prstGeom>
                  </pic:spPr>
                </pic:pic>
              </a:graphicData>
            </a:graphic>
          </wp:anchor>
        </w:drawing>
      </w:r>
    </w:p>
    <w:p>
      <w:pPr>
        <w:spacing w:line="360" w:lineRule="auto"/>
        <w:jc w:val="left"/>
        <w:rPr>
          <w:rFonts w:hint="eastAsia" w:ascii="宋体" w:hAnsi="宋体" w:eastAsia="宋体" w:cs="宋体"/>
          <w:b w:val="0"/>
          <w:bCs w:val="0"/>
          <w:sz w:val="24"/>
          <w:szCs w:val="24"/>
        </w:rPr>
      </w:pPr>
    </w:p>
    <w:p>
      <w:pPr>
        <w:spacing w:line="360" w:lineRule="auto"/>
        <w:jc w:val="left"/>
        <w:rPr>
          <w:rFonts w:hint="eastAsia" w:ascii="宋体" w:hAnsi="宋体" w:eastAsia="宋体" w:cs="宋体"/>
          <w:b w:val="0"/>
          <w:bCs w:val="0"/>
          <w:sz w:val="24"/>
          <w:szCs w:val="24"/>
        </w:rPr>
      </w:pPr>
    </w:p>
    <w:p>
      <w:pPr>
        <w:numPr>
          <w:ilvl w:val="0"/>
          <w:numId w:val="0"/>
        </w:numPr>
        <w:spacing w:line="360" w:lineRule="auto"/>
        <w:rPr>
          <w:rFonts w:hint="eastAsia" w:ascii="宋体" w:hAnsi="宋体" w:eastAsia="宋体" w:cs="宋体"/>
          <w:b w:val="0"/>
          <w:bCs w:val="0"/>
          <w:sz w:val="24"/>
          <w:szCs w:val="24"/>
          <w:lang w:eastAsia="zh-CN"/>
        </w:rPr>
      </w:pPr>
    </w:p>
    <w:p>
      <w:pPr>
        <w:numPr>
          <w:ilvl w:val="0"/>
          <w:numId w:val="0"/>
        </w:numPr>
        <w:spacing w:line="360" w:lineRule="auto"/>
        <w:rPr>
          <w:rFonts w:hint="eastAsia" w:ascii="宋体" w:hAnsi="宋体" w:eastAsia="宋体" w:cs="宋体"/>
          <w:b w:val="0"/>
          <w:bCs w:val="0"/>
          <w:sz w:val="24"/>
          <w:szCs w:val="24"/>
        </w:rPr>
      </w:pPr>
    </w:p>
    <w:p>
      <w:pPr>
        <w:spacing w:line="360" w:lineRule="auto"/>
        <w:jc w:val="left"/>
        <w:rPr>
          <w:rFonts w:hint="eastAsia"/>
          <w:b/>
          <w:bCs/>
          <w:color w:val="FF0000"/>
          <w:sz w:val="24"/>
          <w:szCs w:val="24"/>
          <w:highlight w:val="lightGray"/>
          <w:lang w:eastAsia="zh-CN"/>
        </w:rPr>
      </w:pPr>
    </w:p>
    <w:p>
      <w:pPr>
        <w:numPr>
          <w:ilvl w:val="0"/>
          <w:numId w:val="0"/>
        </w:numPr>
        <w:spacing w:line="360" w:lineRule="auto"/>
        <w:rPr>
          <w:rFonts w:hint="eastAsia" w:ascii="宋体" w:hAnsi="宋体" w:cs="宋体"/>
          <w:b w:val="0"/>
          <w:bCs w:val="0"/>
          <w:sz w:val="24"/>
          <w:szCs w:val="24"/>
          <w:lang w:val="en-US" w:eastAsia="zh-CN"/>
        </w:rPr>
      </w:pPr>
    </w:p>
    <w:p>
      <w:pPr>
        <w:numPr>
          <w:ilvl w:val="0"/>
          <w:numId w:val="0"/>
        </w:numPr>
        <w:spacing w:line="360" w:lineRule="auto"/>
        <w:rPr>
          <w:rFonts w:hint="eastAsia" w:ascii="宋体" w:hAnsi="宋体" w:cs="宋体"/>
          <w:b w:val="0"/>
          <w:bCs w:val="0"/>
          <w:sz w:val="24"/>
          <w:szCs w:val="24"/>
          <w:lang w:val="en-US" w:eastAsia="zh-CN"/>
        </w:rPr>
      </w:pPr>
    </w:p>
    <w:p>
      <w:pPr>
        <w:numPr>
          <w:ilvl w:val="0"/>
          <w:numId w:val="0"/>
        </w:numPr>
        <w:spacing w:line="360" w:lineRule="auto"/>
        <w:rPr>
          <w:rFonts w:hint="eastAsia" w:ascii="宋体" w:hAnsi="宋体" w:cs="宋体"/>
          <w:b w:val="0"/>
          <w:bCs w:val="0"/>
          <w:sz w:val="24"/>
          <w:szCs w:val="24"/>
          <w:lang w:val="en-US" w:eastAsia="zh-CN"/>
        </w:rPr>
      </w:pPr>
    </w:p>
    <w:p>
      <w:pPr>
        <w:numPr>
          <w:ilvl w:val="0"/>
          <w:numId w:val="0"/>
        </w:numPr>
        <w:spacing w:line="360" w:lineRule="auto"/>
        <w:rPr>
          <w:rFonts w:hint="eastAsia" w:ascii="宋体" w:hAnsi="宋体" w:cs="宋体"/>
          <w:b w:val="0"/>
          <w:bCs w:val="0"/>
          <w:sz w:val="24"/>
          <w:szCs w:val="24"/>
          <w:lang w:val="en-US" w:eastAsia="zh-CN"/>
        </w:rPr>
      </w:pPr>
    </w:p>
    <w:p>
      <w:pPr>
        <w:numPr>
          <w:ilvl w:val="0"/>
          <w:numId w:val="0"/>
        </w:numPr>
        <w:spacing w:line="360" w:lineRule="auto"/>
        <w:rPr>
          <w:rFonts w:hint="eastAsia" w:ascii="宋体" w:hAnsi="宋体" w:cs="宋体"/>
          <w:b w:val="0"/>
          <w:bCs w:val="0"/>
          <w:sz w:val="24"/>
          <w:szCs w:val="24"/>
          <w:lang w:val="en-US" w:eastAsia="zh-CN"/>
        </w:rPr>
      </w:pPr>
    </w:p>
    <w:p>
      <w:pPr>
        <w:numPr>
          <w:ilvl w:val="0"/>
          <w:numId w:val="0"/>
        </w:numPr>
        <w:spacing w:line="360" w:lineRule="auto"/>
        <w:rPr>
          <w:rFonts w:hint="eastAsia" w:ascii="宋体" w:hAnsi="宋体" w:cs="宋体"/>
          <w:b w:val="0"/>
          <w:bCs w:val="0"/>
          <w:sz w:val="24"/>
          <w:szCs w:val="24"/>
          <w:lang w:val="en-US" w:eastAsia="zh-CN"/>
        </w:rPr>
      </w:pPr>
    </w:p>
    <w:p>
      <w:pPr>
        <w:numPr>
          <w:ilvl w:val="0"/>
          <w:numId w:val="0"/>
        </w:numPr>
        <w:spacing w:line="360" w:lineRule="auto"/>
        <w:rPr>
          <w:rFonts w:hint="eastAsia" w:ascii="宋体" w:hAnsi="宋体" w:cs="宋体"/>
          <w:b w:val="0"/>
          <w:bCs w:val="0"/>
          <w:sz w:val="24"/>
          <w:szCs w:val="24"/>
          <w:lang w:val="en-US" w:eastAsia="zh-CN"/>
        </w:rPr>
      </w:pPr>
    </w:p>
    <w:p>
      <w:pPr>
        <w:numPr>
          <w:ilvl w:val="0"/>
          <w:numId w:val="0"/>
        </w:numPr>
        <w:spacing w:line="360" w:lineRule="auto"/>
        <w:rPr>
          <w:rFonts w:hint="eastAsia" w:ascii="宋体" w:hAnsi="宋体" w:cs="宋体"/>
          <w:b w:val="0"/>
          <w:bCs w:val="0"/>
          <w:sz w:val="24"/>
          <w:szCs w:val="24"/>
          <w:lang w:val="en-US" w:eastAsia="zh-CN"/>
        </w:rPr>
      </w:pPr>
      <w:r>
        <w:rPr>
          <w:rFonts w:hint="eastAsia" w:ascii="宋体" w:hAnsi="宋体" w:eastAsia="宋体" w:cs="宋体"/>
          <w:b w:val="0"/>
          <w:bCs w:val="0"/>
          <w:sz w:val="24"/>
          <w:szCs w:val="24"/>
          <w:lang w:eastAsia="zh-CN"/>
        </w:rPr>
        <w:drawing>
          <wp:anchor distT="0" distB="0" distL="114300" distR="114300" simplePos="0" relativeHeight="251658240" behindDoc="0" locked="0" layoutInCell="1" allowOverlap="1">
            <wp:simplePos x="0" y="0"/>
            <wp:positionH relativeFrom="column">
              <wp:posOffset>-5211445</wp:posOffset>
            </wp:positionH>
            <wp:positionV relativeFrom="paragraph">
              <wp:posOffset>214630</wp:posOffset>
            </wp:positionV>
            <wp:extent cx="5012690" cy="3024505"/>
            <wp:effectExtent l="0" t="0" r="3810" b="7620"/>
            <wp:wrapSquare wrapText="bothSides"/>
            <wp:docPr id="30" name="图片 30" descr="null-31477778b90631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null-31477778b906316d"/>
                    <pic:cNvPicPr>
                      <a:picLocks noChangeAspect="1"/>
                    </pic:cNvPicPr>
                  </pic:nvPicPr>
                  <pic:blipFill>
                    <a:blip r:embed="rId6"/>
                    <a:srcRect r="13" b="13776"/>
                    <a:stretch>
                      <a:fillRect/>
                    </a:stretch>
                  </pic:blipFill>
                  <pic:spPr>
                    <a:xfrm>
                      <a:off x="0" y="0"/>
                      <a:ext cx="5012690" cy="3024505"/>
                    </a:xfrm>
                    <a:prstGeom prst="rect">
                      <a:avLst/>
                    </a:prstGeom>
                  </pic:spPr>
                </pic:pic>
              </a:graphicData>
            </a:graphic>
          </wp:anchor>
        </w:drawing>
      </w:r>
    </w:p>
    <w:p>
      <w:pPr>
        <w:numPr>
          <w:ilvl w:val="0"/>
          <w:numId w:val="0"/>
        </w:numPr>
        <w:spacing w:line="360" w:lineRule="auto"/>
        <w:rPr>
          <w:rFonts w:hint="eastAsia" w:ascii="宋体" w:hAnsi="宋体" w:cs="宋体"/>
          <w:b/>
          <w:bCs/>
          <w:sz w:val="24"/>
          <w:szCs w:val="24"/>
          <w:lang w:val="en-US" w:eastAsia="zh-CN"/>
        </w:rPr>
      </w:pPr>
    </w:p>
    <w:p>
      <w:pPr>
        <w:numPr>
          <w:ilvl w:val="0"/>
          <w:numId w:val="0"/>
        </w:numPr>
        <w:spacing w:line="360" w:lineRule="auto"/>
        <w:rPr>
          <w:rFonts w:hint="eastAsia" w:ascii="宋体" w:hAnsi="宋体" w:eastAsia="宋体" w:cs="宋体"/>
          <w:b w:val="0"/>
          <w:bCs w:val="0"/>
          <w:sz w:val="24"/>
          <w:szCs w:val="24"/>
          <w:lang w:val="en-US" w:eastAsia="zh-CN"/>
        </w:rPr>
      </w:pPr>
    </w:p>
    <w:p>
      <w:pPr>
        <w:numPr>
          <w:ilvl w:val="0"/>
          <w:numId w:val="0"/>
        </w:numPr>
        <w:spacing w:line="360" w:lineRule="auto"/>
        <w:ind w:leftChars="0"/>
        <w:rPr>
          <w:rFonts w:hint="eastAsia" w:ascii="宋体" w:hAnsi="宋体" w:eastAsia="宋体" w:cs="宋体"/>
          <w:b w:val="0"/>
          <w:bCs w:val="0"/>
          <w:sz w:val="24"/>
          <w:szCs w:val="24"/>
          <w:lang w:val="en-US"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p>
    <w:p>
      <w:pPr>
        <w:spacing w:line="360" w:lineRule="auto"/>
        <w:jc w:val="left"/>
        <w:rPr>
          <w:rFonts w:hint="eastAsia" w:ascii="宋体" w:hAnsi="宋体" w:eastAsia="宋体" w:cs="宋体"/>
          <w:b/>
          <w:bCs/>
          <w:color w:val="FF0000"/>
          <w:sz w:val="24"/>
          <w:highlight w:val="lightGray"/>
          <w:lang w:eastAsia="zh-CN"/>
        </w:rPr>
      </w:pPr>
      <w:r>
        <w:rPr>
          <w:rFonts w:hint="eastAsia" w:ascii="宋体" w:hAnsi="宋体" w:eastAsia="宋体" w:cs="宋体"/>
          <w:b/>
          <w:bCs/>
          <w:color w:val="FF0000"/>
          <w:sz w:val="24"/>
          <w:highlight w:val="lightGray"/>
          <w:lang w:eastAsia="zh-CN"/>
        </w:rPr>
        <w:drawing>
          <wp:inline distT="0" distB="0" distL="114300" distR="114300">
            <wp:extent cx="3373120" cy="4497705"/>
            <wp:effectExtent l="0" t="0" r="8255" b="10795"/>
            <wp:docPr id="3" name="图片 3" descr="A6B98D6C4C4AB64E73D02AA060A2AD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6B98D6C4C4AB64E73D02AA060A2ADD3"/>
                    <pic:cNvPicPr>
                      <a:picLocks noChangeAspect="1"/>
                    </pic:cNvPicPr>
                  </pic:nvPicPr>
                  <pic:blipFill>
                    <a:blip r:embed="rId7"/>
                    <a:stretch>
                      <a:fillRect/>
                    </a:stretch>
                  </pic:blipFill>
                  <pic:spPr>
                    <a:xfrm>
                      <a:off x="0" y="0"/>
                      <a:ext cx="3373120" cy="4497705"/>
                    </a:xfrm>
                    <a:prstGeom prst="rect">
                      <a:avLst/>
                    </a:prstGeom>
                  </pic:spPr>
                </pic:pic>
              </a:graphicData>
            </a:graphic>
          </wp:inline>
        </w:drawing>
      </w:r>
      <w:r>
        <w:rPr>
          <w:rFonts w:hint="eastAsia" w:ascii="宋体" w:hAnsi="宋体" w:eastAsia="宋体" w:cs="宋体"/>
          <w:b/>
          <w:bCs/>
          <w:color w:val="FF0000"/>
          <w:sz w:val="24"/>
          <w:highlight w:val="lightGray"/>
          <w:lang w:eastAsia="zh-CN"/>
        </w:rPr>
        <w:drawing>
          <wp:inline distT="0" distB="0" distL="114300" distR="114300">
            <wp:extent cx="2286635" cy="4955540"/>
            <wp:effectExtent l="0" t="0" r="15240" b="13335"/>
            <wp:docPr id="1" name="图片 1" descr="D608293CBD59CE514DE461E1FAD446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608293CBD59CE514DE461E1FAD4467F"/>
                    <pic:cNvPicPr>
                      <a:picLocks noChangeAspect="1"/>
                    </pic:cNvPicPr>
                  </pic:nvPicPr>
                  <pic:blipFill>
                    <a:blip r:embed="rId8"/>
                    <a:stretch>
                      <a:fillRect/>
                    </a:stretch>
                  </pic:blipFill>
                  <pic:spPr>
                    <a:xfrm>
                      <a:off x="0" y="0"/>
                      <a:ext cx="2286635" cy="4955540"/>
                    </a:xfrm>
                    <a:prstGeom prst="rect">
                      <a:avLst/>
                    </a:prstGeom>
                  </pic:spPr>
                </pic:pic>
              </a:graphicData>
            </a:graphic>
          </wp:inline>
        </w:drawing>
      </w:r>
      <w:r>
        <w:rPr>
          <w:rFonts w:hint="eastAsia" w:ascii="宋体" w:hAnsi="宋体" w:eastAsia="宋体" w:cs="宋体"/>
          <w:b/>
          <w:bCs/>
          <w:color w:val="FF0000"/>
          <w:sz w:val="24"/>
          <w:highlight w:val="lightGray"/>
          <w:lang w:eastAsia="zh-CN"/>
        </w:rPr>
        <w:drawing>
          <wp:inline distT="0" distB="0" distL="114300" distR="114300">
            <wp:extent cx="3389630" cy="3942080"/>
            <wp:effectExtent l="0" t="0" r="7620" b="10795"/>
            <wp:docPr id="2" name="图片 2" descr="ABC92FF59617644D29A3A08D3E8267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BC92FF59617644D29A3A08D3E82676D"/>
                    <pic:cNvPicPr>
                      <a:picLocks noChangeAspect="1"/>
                    </pic:cNvPicPr>
                  </pic:nvPicPr>
                  <pic:blipFill>
                    <a:blip r:embed="rId9"/>
                    <a:stretch>
                      <a:fillRect/>
                    </a:stretch>
                  </pic:blipFill>
                  <pic:spPr>
                    <a:xfrm>
                      <a:off x="0" y="0"/>
                      <a:ext cx="3389630" cy="3942080"/>
                    </a:xfrm>
                    <a:prstGeom prst="rect">
                      <a:avLst/>
                    </a:prstGeom>
                  </pic:spPr>
                </pic:pic>
              </a:graphicData>
            </a:graphic>
          </wp:inline>
        </w:drawing>
      </w:r>
      <w:r>
        <w:rPr>
          <w:rFonts w:hint="eastAsia" w:ascii="宋体" w:hAnsi="宋体" w:eastAsia="宋体" w:cs="宋体"/>
          <w:b/>
          <w:bCs/>
          <w:color w:val="FF0000"/>
          <w:sz w:val="24"/>
          <w:highlight w:val="lightGray"/>
          <w:lang w:eastAsia="zh-CN"/>
        </w:rPr>
        <w:drawing>
          <wp:inline distT="0" distB="0" distL="114300" distR="114300">
            <wp:extent cx="5758180" cy="1846580"/>
            <wp:effectExtent l="0" t="0" r="4445" b="10795"/>
            <wp:docPr id="4" name="图片 4" descr="0E7E96BEA42E5D024D41C77C7A1BB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E7E96BEA42E5D024D41C77C7A1BB030"/>
                    <pic:cNvPicPr>
                      <a:picLocks noChangeAspect="1"/>
                    </pic:cNvPicPr>
                  </pic:nvPicPr>
                  <pic:blipFill>
                    <a:blip r:embed="rId10"/>
                    <a:stretch>
                      <a:fillRect/>
                    </a:stretch>
                  </pic:blipFill>
                  <pic:spPr>
                    <a:xfrm>
                      <a:off x="0" y="0"/>
                      <a:ext cx="5758180" cy="1846580"/>
                    </a:xfrm>
                    <a:prstGeom prst="rect">
                      <a:avLst/>
                    </a:prstGeom>
                  </pic:spPr>
                </pic:pic>
              </a:graphicData>
            </a:graphic>
          </wp:inline>
        </w:drawing>
      </w:r>
    </w:p>
    <w:p>
      <w:pPr>
        <w:spacing w:line="360" w:lineRule="auto"/>
        <w:jc w:val="left"/>
        <w:rPr>
          <w:rFonts w:hint="eastAsia" w:ascii="楷体_GB2312" w:hAnsi="楷体_GB2312" w:eastAsia="楷体_GB2312" w:cs="楷体_GB2312"/>
          <w:b/>
          <w:color w:val="FF0000"/>
          <w:sz w:val="84"/>
          <w:szCs w:val="84"/>
          <w:u w:val="single"/>
        </w:rPr>
      </w:pPr>
      <w:r>
        <w:rPr>
          <w:rFonts w:hint="eastAsia" w:ascii="宋体" w:hAnsi="宋体" w:eastAsia="宋体" w:cs="宋体"/>
          <w:b/>
          <w:bCs/>
          <w:color w:val="FF0000"/>
          <w:sz w:val="24"/>
          <w:highlight w:val="lightGray"/>
          <w:lang w:eastAsia="zh-CN"/>
        </w:rPr>
        <w:drawing>
          <wp:inline distT="0" distB="0" distL="114300" distR="114300">
            <wp:extent cx="4105275" cy="8884920"/>
            <wp:effectExtent l="0" t="0" r="6350" b="5080"/>
            <wp:docPr id="32" name="图片 32" descr="null-2210ed2b03d8b5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null-2210ed2b03d8b51b"/>
                    <pic:cNvPicPr>
                      <a:picLocks noChangeAspect="1"/>
                    </pic:cNvPicPr>
                  </pic:nvPicPr>
                  <pic:blipFill>
                    <a:blip r:embed="rId11"/>
                    <a:stretch>
                      <a:fillRect/>
                    </a:stretch>
                  </pic:blipFill>
                  <pic:spPr>
                    <a:xfrm>
                      <a:off x="0" y="0"/>
                      <a:ext cx="4105275" cy="8884920"/>
                    </a:xfrm>
                    <a:prstGeom prst="rect">
                      <a:avLst/>
                    </a:prstGeom>
                  </pic:spPr>
                </pic:pic>
              </a:graphicData>
            </a:graphic>
          </wp:inline>
        </w:drawing>
      </w:r>
    </w:p>
    <w:p>
      <w:pPr>
        <w:numPr>
          <w:ilvl w:val="0"/>
          <w:numId w:val="0"/>
        </w:numPr>
        <w:spacing w:line="360" w:lineRule="auto"/>
        <w:ind w:leftChars="0"/>
        <w:jc w:val="left"/>
        <w:rPr>
          <w:rFonts w:ascii="楷体_GB2312" w:hAnsi="楷体_GB2312" w:eastAsia="楷体_GB2312" w:cs="楷体_GB2312"/>
          <w:szCs w:val="21"/>
        </w:rPr>
      </w:pPr>
      <w:r>
        <w:rPr>
          <w:rFonts w:hint="eastAsia" w:ascii="楷体_GB2312" w:hAnsi="楷体_GB2312" w:eastAsia="楷体_GB2312" w:cs="楷体_GB2312"/>
          <w:b/>
          <w:color w:val="FF0000"/>
          <w:sz w:val="84"/>
          <w:szCs w:val="84"/>
          <w:u w:val="single"/>
        </w:rPr>
        <w:t xml:space="preserve">                            </w:t>
      </w:r>
    </w:p>
    <w:p>
      <w:pPr>
        <w:spacing w:line="360" w:lineRule="auto"/>
        <w:rPr>
          <w:rFonts w:hint="eastAsia" w:ascii="楷体" w:hAnsi="楷体" w:eastAsia="楷体"/>
          <w:sz w:val="24"/>
          <w:lang w:val="en-US" w:eastAsia="zh-CN"/>
        </w:rPr>
      </w:pPr>
      <w:r>
        <w:rPr>
          <w:rFonts w:hint="eastAsia" w:ascii="楷体" w:hAnsi="楷体" w:eastAsia="楷体"/>
          <w:sz w:val="24"/>
        </w:rPr>
        <w:t xml:space="preserve">报：常州市新北区春江幼儿园 新教师共同体 </w:t>
      </w:r>
      <w:r>
        <w:rPr>
          <w:rFonts w:ascii="楷体" w:hAnsi="楷体" w:eastAsia="楷体"/>
          <w:sz w:val="24"/>
        </w:rPr>
        <w:t xml:space="preserve">     </w:t>
      </w:r>
      <w:r>
        <w:rPr>
          <w:rFonts w:hint="eastAsia" w:ascii="楷体" w:hAnsi="楷体" w:eastAsia="楷体"/>
          <w:sz w:val="24"/>
        </w:rPr>
        <w:t xml:space="preserve"> 统稿：</w:t>
      </w:r>
      <w:r>
        <w:rPr>
          <w:rFonts w:hint="eastAsia" w:ascii="楷体" w:hAnsi="楷体" w:eastAsia="楷体"/>
          <w:sz w:val="24"/>
          <w:lang w:val="en-US" w:eastAsia="zh-CN"/>
        </w:rPr>
        <w:t>徐栋、李倩云</w:t>
      </w:r>
      <w:r>
        <w:rPr>
          <w:rFonts w:hint="eastAsia" w:ascii="楷体" w:hAnsi="楷体" w:eastAsia="楷体"/>
          <w:sz w:val="24"/>
        </w:rPr>
        <w:t>、</w:t>
      </w:r>
      <w:r>
        <w:rPr>
          <w:rFonts w:hint="eastAsia" w:ascii="楷体" w:hAnsi="楷体" w:eastAsia="楷体"/>
          <w:sz w:val="24"/>
          <w:lang w:val="en-US" w:eastAsia="zh-CN"/>
        </w:rPr>
        <w:t>耿智蔚</w:t>
      </w:r>
    </w:p>
    <w:p>
      <w:pPr>
        <w:spacing w:line="360" w:lineRule="auto"/>
        <w:ind w:firstLine="5520" w:firstLineChars="2300"/>
        <w:rPr>
          <w:rFonts w:hint="eastAsia" w:ascii="楷体" w:hAnsi="楷体" w:eastAsia="楷体"/>
          <w:sz w:val="24"/>
          <w:lang w:val="en-US" w:eastAsia="zh-CN"/>
        </w:rPr>
      </w:pPr>
      <w:r>
        <w:rPr>
          <w:rFonts w:hint="eastAsia" w:ascii="楷体" w:hAnsi="楷体" w:eastAsia="楷体"/>
          <w:sz w:val="24"/>
        </w:rPr>
        <w:t>简报：</w:t>
      </w:r>
      <w:r>
        <w:rPr>
          <w:rFonts w:hint="eastAsia" w:ascii="楷体" w:hAnsi="楷体" w:eastAsia="楷体"/>
          <w:sz w:val="24"/>
          <w:lang w:val="en-US" w:eastAsia="zh-CN"/>
        </w:rPr>
        <w:t>徐栋、耿智蔚</w:t>
      </w:r>
    </w:p>
    <w:p>
      <w:pPr>
        <w:spacing w:line="360" w:lineRule="auto"/>
        <w:ind w:firstLine="5520" w:firstLineChars="2300"/>
        <w:rPr>
          <w:rFonts w:ascii="楷体" w:hAnsi="楷体" w:eastAsia="楷体"/>
          <w:sz w:val="24"/>
        </w:rPr>
      </w:pPr>
      <w:r>
        <w:rPr>
          <w:rFonts w:hint="eastAsia" w:ascii="楷体" w:hAnsi="楷体" w:eastAsia="楷体"/>
          <w:sz w:val="24"/>
        </w:rPr>
        <w:t>审核：</w:t>
      </w:r>
      <w:r>
        <w:rPr>
          <w:rFonts w:hint="eastAsia" w:ascii="楷体" w:hAnsi="楷体" w:eastAsia="楷体"/>
          <w:sz w:val="24"/>
          <w:lang w:val="en-US" w:eastAsia="zh-CN"/>
        </w:rPr>
        <w:t>李倩云</w:t>
      </w:r>
    </w:p>
    <w:sectPr>
      <w:pgSz w:w="11906" w:h="16838"/>
      <w:pgMar w:top="1417" w:right="1417" w:bottom="1417" w:left="1417"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MingLiU">
    <w:altName w:val="Segoe Print"/>
    <w:panose1 w:val="00000000000000000000"/>
    <w:charset w:val="00"/>
    <w:family w:val="auto"/>
    <w:pitch w:val="default"/>
    <w:sig w:usb0="00000000" w:usb1="00000000" w:usb2="00000000" w:usb3="00000000" w:csb0="00000000" w:csb1="00000000"/>
  </w:font>
  <w:font w:name="方正黑体简体">
    <w:altName w:val="宋体"/>
    <w:panose1 w:val="00000000000000000000"/>
    <w:charset w:val="86"/>
    <w:family w:val="roman"/>
    <w:pitch w:val="default"/>
    <w:sig w:usb0="00000000" w:usb1="00000000" w:usb2="00000010" w:usb3="00000000" w:csb0="00040000" w:csb1="00000000"/>
  </w:font>
  <w:font w:name="方正大标宋简体">
    <w:altName w:val="宋体"/>
    <w:panose1 w:val="00000000000000000000"/>
    <w:charset w:val="86"/>
    <w:family w:val="roman"/>
    <w:pitch w:val="default"/>
    <w:sig w:usb0="00000000" w:usb1="00000000" w:usb2="00000010" w:usb3="00000000" w:csb0="00040000" w:csb1="00000000"/>
  </w:font>
  <w:font w:name="仿宋_GB2312">
    <w:altName w:val="仿宋"/>
    <w:panose1 w:val="00000000000000000000"/>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FC4EB5D"/>
    <w:multiLevelType w:val="singleLevel"/>
    <w:tmpl w:val="5FC4EB5D"/>
    <w:lvl w:ilvl="0" w:tentative="0">
      <w:start w:val="2"/>
      <w:numFmt w:val="decimal"/>
      <w:suff w:val="nothing"/>
      <w:lvlText w:val="%1、"/>
      <w:lvlJc w:val="left"/>
    </w:lvl>
  </w:abstractNum>
  <w:abstractNum w:abstractNumId="1">
    <w:nsid w:val="5FC4EE9F"/>
    <w:multiLevelType w:val="singleLevel"/>
    <w:tmpl w:val="5FC4EE9F"/>
    <w:lvl w:ilvl="0" w:tentative="0">
      <w:start w:val="2"/>
      <w:numFmt w:val="chineseCounting"/>
      <w:suff w:val="nothing"/>
      <w:lvlText w:val="（%1）"/>
      <w:lvlJc w:val="left"/>
    </w:lvl>
  </w:abstractNum>
  <w:abstractNum w:abstractNumId="2">
    <w:nsid w:val="5FC4F062"/>
    <w:multiLevelType w:val="singleLevel"/>
    <w:tmpl w:val="5FC4F062"/>
    <w:lvl w:ilvl="0" w:tentative="0">
      <w:start w:val="3"/>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5DC8"/>
    <w:rsid w:val="000439BE"/>
    <w:rsid w:val="00171BF2"/>
    <w:rsid w:val="001C2887"/>
    <w:rsid w:val="00201028"/>
    <w:rsid w:val="002878A0"/>
    <w:rsid w:val="00331C9C"/>
    <w:rsid w:val="004874BB"/>
    <w:rsid w:val="00586C31"/>
    <w:rsid w:val="006B5DC8"/>
    <w:rsid w:val="00795512"/>
    <w:rsid w:val="008E3CD3"/>
    <w:rsid w:val="00952E87"/>
    <w:rsid w:val="009B119F"/>
    <w:rsid w:val="00A37C94"/>
    <w:rsid w:val="00A6144F"/>
    <w:rsid w:val="00A748F8"/>
    <w:rsid w:val="00C14ABB"/>
    <w:rsid w:val="00C37D1E"/>
    <w:rsid w:val="00C57BB2"/>
    <w:rsid w:val="00D356FD"/>
    <w:rsid w:val="00DD2A0D"/>
    <w:rsid w:val="00EB1C34"/>
    <w:rsid w:val="01A6047E"/>
    <w:rsid w:val="028549BD"/>
    <w:rsid w:val="0B19322F"/>
    <w:rsid w:val="108E0F16"/>
    <w:rsid w:val="10AA473C"/>
    <w:rsid w:val="13C00098"/>
    <w:rsid w:val="1693231B"/>
    <w:rsid w:val="1B792E49"/>
    <w:rsid w:val="200F1963"/>
    <w:rsid w:val="22C007D6"/>
    <w:rsid w:val="28DC2144"/>
    <w:rsid w:val="33622D3E"/>
    <w:rsid w:val="36E53C22"/>
    <w:rsid w:val="3B2B7BBB"/>
    <w:rsid w:val="3D252DA4"/>
    <w:rsid w:val="3F0E06C6"/>
    <w:rsid w:val="45C0497E"/>
    <w:rsid w:val="4CD86665"/>
    <w:rsid w:val="4DBF2116"/>
    <w:rsid w:val="500E7608"/>
    <w:rsid w:val="58831704"/>
    <w:rsid w:val="5BD72A88"/>
    <w:rsid w:val="5C092BBE"/>
    <w:rsid w:val="68B529DC"/>
    <w:rsid w:val="6A440811"/>
    <w:rsid w:val="7B49657F"/>
    <w:rsid w:val="7C3F6456"/>
    <w:rsid w:val="7F4F1F94"/>
    <w:rsid w:val="7F682D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unhideWhenUsed/>
    <w:qFormat/>
    <w:uiPriority w:val="1"/>
  </w:style>
  <w:style w:type="table" w:default="1" w:styleId="8">
    <w:name w:val="Normal Table"/>
    <w:unhideWhenUsed/>
    <w:qFormat/>
    <w:uiPriority w:val="99"/>
    <w:tblPr>
      <w:tblLayout w:type="fixed"/>
      <w:tblCellMar>
        <w:top w:w="0" w:type="dxa"/>
        <w:left w:w="108" w:type="dxa"/>
        <w:bottom w:w="0" w:type="dxa"/>
        <w:right w:w="108" w:type="dxa"/>
      </w:tblCellMar>
    </w:tblPr>
  </w:style>
  <w:style w:type="paragraph" w:styleId="2">
    <w:name w:val="annotation text"/>
    <w:basedOn w:val="1"/>
    <w:unhideWhenUsed/>
    <w:qFormat/>
    <w:uiPriority w:val="99"/>
    <w:pPr>
      <w:jc w:val="left"/>
    </w:pPr>
  </w:style>
  <w:style w:type="paragraph" w:styleId="3">
    <w:name w:val="Balloon Text"/>
    <w:basedOn w:val="1"/>
    <w:link w:val="15"/>
    <w:qFormat/>
    <w:uiPriority w:val="0"/>
    <w:rPr>
      <w:sz w:val="18"/>
      <w:szCs w:val="18"/>
    </w:rPr>
  </w:style>
  <w:style w:type="paragraph" w:styleId="4">
    <w:name w:val="footer"/>
    <w:basedOn w:val="1"/>
    <w:link w:val="11"/>
    <w:qFormat/>
    <w:uiPriority w:val="0"/>
    <w:pPr>
      <w:tabs>
        <w:tab w:val="center" w:pos="4153"/>
        <w:tab w:val="right" w:pos="8306"/>
      </w:tabs>
      <w:snapToGrid w:val="0"/>
      <w:jc w:val="left"/>
    </w:pPr>
    <w:rPr>
      <w:sz w:val="18"/>
      <w:szCs w:val="18"/>
    </w:rPr>
  </w:style>
  <w:style w:type="paragraph" w:styleId="5">
    <w:name w:val="header"/>
    <w:basedOn w:val="1"/>
    <w:link w:val="12"/>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99"/>
    <w:pPr>
      <w:widowControl/>
      <w:spacing w:before="100" w:beforeAutospacing="1" w:after="100" w:afterAutospacing="1"/>
      <w:jc w:val="left"/>
    </w:pPr>
    <w:rPr>
      <w:rFonts w:ascii="宋体" w:hAnsi="宋体" w:cs="宋体"/>
      <w:kern w:val="0"/>
      <w:sz w:val="24"/>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customStyle="1" w:styleId="10">
    <w:name w:val="Char"/>
    <w:basedOn w:val="1"/>
    <w:qFormat/>
    <w:uiPriority w:val="0"/>
    <w:pPr>
      <w:tabs>
        <w:tab w:val="left" w:pos="360"/>
      </w:tabs>
    </w:pPr>
    <w:rPr>
      <w:sz w:val="24"/>
    </w:rPr>
  </w:style>
  <w:style w:type="character" w:customStyle="1" w:styleId="11">
    <w:name w:val="页脚 Char"/>
    <w:basedOn w:val="7"/>
    <w:link w:val="4"/>
    <w:qFormat/>
    <w:uiPriority w:val="0"/>
    <w:rPr>
      <w:kern w:val="2"/>
      <w:sz w:val="18"/>
      <w:szCs w:val="18"/>
    </w:rPr>
  </w:style>
  <w:style w:type="character" w:customStyle="1" w:styleId="12">
    <w:name w:val="页眉 Char"/>
    <w:basedOn w:val="7"/>
    <w:link w:val="5"/>
    <w:qFormat/>
    <w:uiPriority w:val="0"/>
    <w:rPr>
      <w:kern w:val="2"/>
      <w:sz w:val="18"/>
      <w:szCs w:val="18"/>
    </w:rPr>
  </w:style>
  <w:style w:type="character" w:customStyle="1" w:styleId="13">
    <w:name w:val="apple-converted-space"/>
    <w:basedOn w:val="7"/>
    <w:qFormat/>
    <w:uiPriority w:val="0"/>
  </w:style>
  <w:style w:type="paragraph" w:customStyle="1" w:styleId="14">
    <w:name w:val="List Paragraph"/>
    <w:basedOn w:val="1"/>
    <w:qFormat/>
    <w:uiPriority w:val="34"/>
    <w:pPr>
      <w:ind w:firstLine="420" w:firstLineChars="200"/>
    </w:pPr>
  </w:style>
  <w:style w:type="character" w:customStyle="1" w:styleId="15">
    <w:name w:val="批注框文本 Char"/>
    <w:basedOn w:val="7"/>
    <w:link w:val="3"/>
    <w:qFormat/>
    <w:uiPriority w:val="0"/>
    <w:rPr>
      <w:kern w:val="2"/>
      <w:sz w:val="18"/>
      <w:szCs w:val="18"/>
    </w:rPr>
  </w:style>
  <w:style w:type="character" w:customStyle="1" w:styleId="16">
    <w:name w:val="font11"/>
    <w:basedOn w:val="7"/>
    <w:uiPriority w:val="0"/>
    <w:rPr>
      <w:rFonts w:hint="default" w:ascii="MingLiU" w:hAnsi="MingLiU" w:eastAsia="MingLiU" w:cs="MingLiU"/>
      <w:color w:val="000000"/>
      <w:sz w:val="20"/>
      <w:szCs w:val="20"/>
      <w:u w:val="none"/>
    </w:rPr>
  </w:style>
  <w:style w:type="character" w:customStyle="1" w:styleId="17">
    <w:name w:val="font01"/>
    <w:basedOn w:val="7"/>
    <w:uiPriority w:val="0"/>
    <w:rPr>
      <w:rFonts w:hint="default" w:ascii="Times New Roman" w:hAnsi="Times New Roman" w:cs="Times New Roman"/>
      <w:color w:val="000000"/>
      <w:sz w:val="22"/>
      <w:szCs w:val="22"/>
      <w:u w:val="none"/>
    </w:rPr>
  </w:style>
  <w:style w:type="character" w:customStyle="1" w:styleId="18">
    <w:name w:val="font71"/>
    <w:basedOn w:val="7"/>
    <w:uiPriority w:val="0"/>
    <w:rPr>
      <w:rFonts w:hint="default" w:ascii="MingLiU" w:hAnsi="MingLiU" w:eastAsia="MingLiU" w:cs="MingLiU"/>
      <w:color w:val="000000"/>
      <w:sz w:val="20"/>
      <w:szCs w:val="20"/>
      <w:u w:val="single"/>
    </w:rPr>
  </w:style>
  <w:style w:type="character" w:customStyle="1" w:styleId="19">
    <w:name w:val="font61"/>
    <w:basedOn w:val="7"/>
    <w:uiPriority w:val="0"/>
    <w:rPr>
      <w:rFonts w:ascii="宋体" w:hAnsi="宋体" w:eastAsia="宋体" w:cs="宋体"/>
      <w:color w:val="000000"/>
      <w:sz w:val="20"/>
      <w:szCs w:val="20"/>
      <w:u w:val="none"/>
      <w:vertAlign w:val="superscript"/>
    </w:rPr>
  </w:style>
  <w:style w:type="character" w:customStyle="1" w:styleId="20">
    <w:name w:val="font51"/>
    <w:basedOn w:val="7"/>
    <w:uiPriority w:val="0"/>
    <w:rPr>
      <w:rFonts w:ascii="宋体" w:hAnsi="宋体" w:eastAsia="宋体" w:cs="宋体"/>
      <w:color w:val="000000"/>
      <w:sz w:val="20"/>
      <w:szCs w:val="20"/>
      <w:u w:val="single"/>
    </w:rPr>
  </w:style>
  <w:style w:type="character" w:customStyle="1" w:styleId="21">
    <w:name w:val="font41"/>
    <w:basedOn w:val="7"/>
    <w:uiPriority w:val="0"/>
    <w:rPr>
      <w:rFonts w:hint="default" w:ascii="MingLiU" w:hAnsi="MingLiU" w:eastAsia="MingLiU" w:cs="MingLiU"/>
      <w:i/>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8</Pages>
  <Words>863</Words>
  <Characters>4921</Characters>
  <Lines>41</Lines>
  <Paragraphs>11</Paragraphs>
  <ScaleCrop>false</ScaleCrop>
  <LinksUpToDate>false</LinksUpToDate>
  <CharactersWithSpaces>5773</CharactersWithSpaces>
  <Application>WPS Office_10.1.0.6553_F1E327BC-269C-435d-A152-05C5408002CA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2020-06-04T03:44:00Z</dcterms:created>
  <dc:creator>xws</dc:creator>
  <cp:lastModifiedBy>Lenovo</cp:lastModifiedBy>
  <dcterms:modified xsi:type="dcterms:W3CDTF">2020-11-30T14:18:58Z</dcterms:modified>
  <dc:title>新北区银河幼儿园“课程游戏化”建设活动</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2052-10.1.0.6553</vt:lpwstr>
  </property>
</Properties>
</file>