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储莉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32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本科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体育 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1、力争早日评上“教学能手”。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2、年度考核“优秀”。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3、每学年至少撰写论文1篇，并积极参加论文评比或发表。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</w:t>
            </w:r>
            <w:r>
              <w:rPr>
                <w:sz w:val="24"/>
              </w:rPr>
              <w:t>积极</w:t>
            </w:r>
            <w:r>
              <w:rPr>
                <w:rFonts w:hint="eastAsia"/>
                <w:sz w:val="24"/>
              </w:rPr>
              <w:t>申报和</w:t>
            </w:r>
            <w:r>
              <w:rPr>
                <w:sz w:val="24"/>
              </w:rPr>
              <w:t>参加市级区级基本功、评优课、公开课教学的评比和竞赛。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</w:pPr>
            <w:r>
              <w:rPr>
                <w:rFonts w:hint="eastAsia"/>
                <w:sz w:val="24"/>
              </w:rPr>
              <w:t>5、校田径队能稳定在区一等行列里面。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1、校级公开课两节。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2、争取撰写一篇论文获奖；发表论文一篇。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3、制定科研计划，做好微课题的申报工作，搜集资料素材，及时反思总结，撰写有质量有深度的教育微型课题。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4、制定田径训练计划，科学选材，组建梯队，扎实训练。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5、积极参加各级各类的教学评比。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开设组内教研课一节，区级公开课一节，区督导课一节。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2、论文一篇获常州市论文年会三等奖。</w:t>
            </w:r>
          </w:p>
          <w:p>
            <w:p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后期努力方向及措施：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1、认真参加“青蓝结对”活动，认真指导徒弟，多听课多研讨，相互学习，共同进步。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2、立足课堂，不断提高自己的教学能力。多听课，多上课，积极参加体育教学研讨活动，积极反思，积累经验。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3、利用业余时间抓紧学习体育教育理论，提高自身的理论水平和科研能力，为撰写论文打下扎实基础。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4、积极申报论文评比和公开课。</w:t>
            </w:r>
          </w:p>
          <w:p>
            <w:p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5、有针对性的进行选材，组建梯队，科学训练。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学科主任审阅意见：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储莉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年级体育       </w:t>
      </w:r>
      <w:r>
        <w:rPr>
          <w:rFonts w:hint="eastAsia"/>
          <w:sz w:val="24"/>
        </w:rPr>
        <w:t xml:space="preserve">     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7F91"/>
    <w:rsid w:val="298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2019-07-31T01:53:00Z</dcterms:created>
  <dc:creator>小海豚</dc:creator>
  <cp:lastModifiedBy>小海豚</cp:lastModifiedBy>
  <dcterms:modified xsi:type="dcterms:W3CDTF">2019-07-31T02:07:37Z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