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AD" w:rsidRDefault="00301AB2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F1FAD">
        <w:tc>
          <w:tcPr>
            <w:tcW w:w="8522" w:type="dxa"/>
          </w:tcPr>
          <w:p w:rsidR="005F1FAD" w:rsidRDefault="00301AB2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8F6E92"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8F6E92">
              <w:rPr>
                <w:rFonts w:ascii="Calibri" w:eastAsia="宋体" w:hAnsi="Calibri" w:cs="Times New Roman"/>
                <w:kern w:val="0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:rsidR="005F1FAD" w:rsidRDefault="00301AB2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E6199E" w:rsidRPr="00E6199E">
              <w:rPr>
                <w:rFonts w:ascii="Calibri" w:eastAsia="宋体" w:hAnsi="Calibri" w:cs="Times New Roman" w:hint="eastAsia"/>
                <w:kern w:val="0"/>
                <w:szCs w:val="24"/>
              </w:rPr>
              <w:t>常州市</w:t>
            </w:r>
            <w:r w:rsidR="008F6E92">
              <w:rPr>
                <w:rFonts w:ascii="Calibri" w:eastAsia="宋体" w:hAnsi="Calibri" w:cs="Times New Roman" w:hint="eastAsia"/>
                <w:kern w:val="0"/>
                <w:szCs w:val="24"/>
              </w:rPr>
              <w:t>正衡</w:t>
            </w:r>
            <w:r w:rsidR="00E6199E" w:rsidRPr="00E6199E">
              <w:rPr>
                <w:rFonts w:ascii="Calibri" w:eastAsia="宋体" w:hAnsi="Calibri" w:cs="Times New Roman" w:hint="eastAsia"/>
                <w:kern w:val="0"/>
                <w:szCs w:val="24"/>
              </w:rPr>
              <w:t>初级中学</w:t>
            </w:r>
          </w:p>
          <w:p w:rsidR="005F1FAD" w:rsidRDefault="00301AB2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活动参与人员：全组化学老师</w:t>
            </w:r>
          </w:p>
        </w:tc>
      </w:tr>
      <w:tr w:rsidR="005F1FAD">
        <w:trPr>
          <w:trHeight w:val="12332"/>
        </w:trPr>
        <w:tc>
          <w:tcPr>
            <w:tcW w:w="8522" w:type="dxa"/>
          </w:tcPr>
          <w:p w:rsidR="005F1FAD" w:rsidRPr="009F4C0B" w:rsidRDefault="00301AB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活动具体内容（附照片文字）：</w:t>
            </w:r>
          </w:p>
          <w:p w:rsidR="008F6E92" w:rsidRPr="008F6E92" w:rsidRDefault="008F6E92" w:rsidP="008F6E92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8F6E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聚焦课</w:t>
            </w:r>
            <w:bookmarkStart w:id="0" w:name="_GoBack"/>
            <w:bookmarkEnd w:id="0"/>
            <w:r w:rsidRPr="008F6E9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堂促发展</w:t>
            </w:r>
          </w:p>
          <w:p w:rsidR="008F6E92" w:rsidRPr="008F6E92" w:rsidRDefault="00E6199E" w:rsidP="008F6E92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6199E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E6199E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日上午，</w:t>
            </w:r>
            <w:r w:rsid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我校全体化学教师参与了</w:t>
            </w:r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在常州市正</w:t>
            </w:r>
            <w:proofErr w:type="gramStart"/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衡中学</w:t>
            </w:r>
            <w:proofErr w:type="gramEnd"/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展开</w:t>
            </w:r>
            <w:r w:rsid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的教研活动</w:t>
            </w:r>
            <w:r w:rsidR="008F6E92"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。活动分为两个阶段，第一阶段分别由王鑫彤、姚亚楠两位老师从不同角度开设了第四章《认识化学变化》复习课；第二阶段为评课议课，共同探讨两节课的精彩之处。</w:t>
            </w:r>
          </w:p>
          <w:p w:rsidR="008F6E92" w:rsidRPr="008F6E92" w:rsidRDefault="008F6E92" w:rsidP="008F6E92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鑫彤老师从“神舟飞船”着手，首先通过认识火箭推进器燃料，在新的情境中辨析燃烧的条件。在对各级燃料进一步认识中，帮助学生回顾旧知，重构了燃烧与灭火、完全燃烧与不完全燃烧、爆炸、根据微观示意图书写化学方程式的知识体系。将物质变化与能量变化有机联系，提升学生分析问题的能力和证据推理的素养，从宏观到微观进一步认识化学变化。接着，通过对神舟太空舱中供氧剂的探究，分析了供氧剂的组成元素、化学式，从“定性”到“定量”再识化学变化。最后，由一段宇航员返航的视频引入对返回舱阻燃剂的分析认识，进一步理解和巩固灭火的原理。最后，王老师针对本节课内容进行总结，激励同学们不断探索飞船的奥秘，树立起关心科学技术进步、关注人类社会发展的责任感和使命感，进一步感受化学的学科价值。</w:t>
            </w:r>
            <w:r w:rsidR="00E6199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E6199E" w:rsidRDefault="008F6E92" w:rsidP="00810F7E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FF0416" wp14:editId="7D7A774B">
                  <wp:extent cx="2160000" cy="1440000"/>
                  <wp:effectExtent l="0" t="0" r="0" b="8255"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29774"/>
                          <a:stretch/>
                        </pic:blipFill>
                        <pic:spPr bwMode="auto"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AD52E98" wp14:editId="43F032DA">
                  <wp:extent cx="2160000" cy="1440000"/>
                  <wp:effectExtent l="0" t="0" r="0" b="8255"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99E" w:rsidRDefault="008F6E92" w:rsidP="00810F7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节课，姚亚楠老师从身边的蚊香入手，探究蚊香燃烧与熄灭的原因，回顾燃烧的条件、灭火的原理。同时给与学生充足的时间设计对照实验验证燃烧的条件，在展示过程中体现生生互评、师生互评的评价方式。接着，由一段蚊香燃烧过程的视频，带领学生共同探究蚊香燃烧过程中的质量关系，进一步理解质量守恒定律。最后，以白磷燃烧为例，通过学生计算，掌握根据方程式</w:t>
            </w: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计算的一般方法，帮助学生多角度理解化学方程式的涵义。</w:t>
            </w:r>
          </w:p>
          <w:p w:rsidR="008F6E92" w:rsidRDefault="008F6E92" w:rsidP="00810F7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第二阶段，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新北区教研员</w:t>
            </w: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周文荣校长对第四章在初中化学教材中的地位和作用进行了分析，并对王鑫彤老师的课进行了点评，他认为王老师的课有以下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个特点。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、多元化的理解。从能量、微观、表达、定量等视角帮助学生理解化学变化；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、结构化的知识。帮助学生重构第四章知识，使其系统化；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、有意义的情境。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神舟飞船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有效承载了知识，具有逻辑性，与环节相匹配，若能借助宇航员精神激励学生起到育人作用更为锦上添花；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、较高阶的目标。在探究过程中从分析、评价的角度进一步认识化学变化。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8F6E92">
              <w:rPr>
                <w:rFonts w:ascii="Times New Roman" w:eastAsia="宋体" w:hAnsi="Times New Roman" w:cs="Times New Roman"/>
                <w:sz w:val="24"/>
                <w:szCs w:val="24"/>
              </w:rPr>
              <w:t>、有理性的应变。对于教学中实验现象的不明显，既通过视</w:t>
            </w: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频补充，又组织学</w:t>
            </w:r>
            <w:proofErr w:type="gramStart"/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生分析</w:t>
            </w:r>
            <w:proofErr w:type="gramEnd"/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讨论。</w:t>
            </w:r>
          </w:p>
          <w:p w:rsidR="008F6E92" w:rsidRDefault="008F6E92" w:rsidP="008F6E92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9961EC" wp14:editId="3C521CD5">
                  <wp:extent cx="4421885" cy="261874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928" cy="261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6E92" w:rsidRPr="002E1997" w:rsidRDefault="008F6E92" w:rsidP="00810F7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正</w:t>
            </w:r>
            <w:proofErr w:type="gramStart"/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衡中学</w:t>
            </w:r>
            <w:proofErr w:type="gramEnd"/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艾璐校长对姚亚楠老师的课进行了点评。姚老师的</w:t>
            </w:r>
            <w:proofErr w:type="gramStart"/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课体现</w:t>
            </w:r>
            <w:proofErr w:type="gramEnd"/>
            <w:r w:rsidRPr="008F6E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符号表征、宏微结合、元素守恒、科学方法、实验探究五个关键词，突出了化学方程式背后的意义。同时，提出了宝贵的建议：从价值角度有效发挥情境的作用，有效挖掘蚊香背后的化学知识，将情境贯穿课堂。最后詹发云校长对本次活动进行了总结，他认为学习化学就是对话的过程，与客观世界、与他人、与自我。以学生为中心，通过问题串暴露学生的问题，帮助学生充分表达、打开思维，在设计、解释、评估的过程中培养学生的科学素养。</w:t>
            </w:r>
          </w:p>
        </w:tc>
      </w:tr>
      <w:tr w:rsidR="005F1FAD">
        <w:tc>
          <w:tcPr>
            <w:tcW w:w="8522" w:type="dxa"/>
          </w:tcPr>
          <w:p w:rsidR="005F1FAD" w:rsidRPr="009F4C0B" w:rsidRDefault="00301AB2">
            <w:pPr>
              <w:jc w:val="righ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lastRenderedPageBreak/>
              <w:t>记录人：</w:t>
            </w:r>
            <w:r w:rsidR="00067FE0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徐文佳</w:t>
            </w:r>
          </w:p>
        </w:tc>
      </w:tr>
      <w:tr w:rsidR="005F1FAD">
        <w:tc>
          <w:tcPr>
            <w:tcW w:w="8522" w:type="dxa"/>
          </w:tcPr>
          <w:p w:rsidR="005F1FAD" w:rsidRPr="009F4C0B" w:rsidRDefault="00301AB2">
            <w:pPr>
              <w:jc w:val="righ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日期：</w:t>
            </w: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2020</w:t>
            </w: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年</w:t>
            </w: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  <w:r w:rsidR="008F6E92">
              <w:rPr>
                <w:rFonts w:ascii="Times New Roman" w:eastAsia="宋体" w:hAnsi="Times New Roman" w:cs="Times New Roman"/>
                <w:kern w:val="0"/>
                <w:szCs w:val="24"/>
              </w:rPr>
              <w:t>2</w:t>
            </w: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月</w:t>
            </w:r>
            <w:r w:rsidR="008F6E92">
              <w:rPr>
                <w:rFonts w:ascii="Times New Roman" w:eastAsia="宋体" w:hAnsi="Times New Roman" w:cs="Times New Roman"/>
                <w:kern w:val="0"/>
                <w:szCs w:val="24"/>
              </w:rPr>
              <w:t>4</w:t>
            </w:r>
            <w:r w:rsidRPr="009F4C0B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日</w:t>
            </w:r>
          </w:p>
        </w:tc>
      </w:tr>
    </w:tbl>
    <w:p w:rsidR="005F1FAD" w:rsidRDefault="005F1FAD">
      <w:pPr>
        <w:rPr>
          <w:rFonts w:ascii="Calibri" w:eastAsia="宋体" w:hAnsi="Calibri" w:cs="Times New Roman"/>
          <w:szCs w:val="24"/>
        </w:rPr>
      </w:pPr>
    </w:p>
    <w:p w:rsidR="005F1FAD" w:rsidRDefault="005F1FAD">
      <w:pPr>
        <w:rPr>
          <w:rFonts w:ascii="Calibri" w:eastAsia="宋体" w:hAnsi="Calibri" w:cs="Times New Roman"/>
          <w:szCs w:val="24"/>
        </w:rPr>
      </w:pPr>
    </w:p>
    <w:sectPr w:rsidR="005F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3B" w:rsidRDefault="00EE433B" w:rsidP="009F4C0B">
      <w:r>
        <w:separator/>
      </w:r>
    </w:p>
  </w:endnote>
  <w:endnote w:type="continuationSeparator" w:id="0">
    <w:p w:rsidR="00EE433B" w:rsidRDefault="00EE433B" w:rsidP="009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3B" w:rsidRDefault="00EE433B" w:rsidP="009F4C0B">
      <w:r>
        <w:separator/>
      </w:r>
    </w:p>
  </w:footnote>
  <w:footnote w:type="continuationSeparator" w:id="0">
    <w:p w:rsidR="00EE433B" w:rsidRDefault="00EE433B" w:rsidP="009F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24CAC"/>
    <w:rsid w:val="00067FE0"/>
    <w:rsid w:val="000A2354"/>
    <w:rsid w:val="000F3374"/>
    <w:rsid w:val="001114F6"/>
    <w:rsid w:val="001425DC"/>
    <w:rsid w:val="001B64C6"/>
    <w:rsid w:val="001E4E91"/>
    <w:rsid w:val="001E7C16"/>
    <w:rsid w:val="00214A95"/>
    <w:rsid w:val="002536EE"/>
    <w:rsid w:val="002E1997"/>
    <w:rsid w:val="003016CD"/>
    <w:rsid w:val="00301AB2"/>
    <w:rsid w:val="0033638C"/>
    <w:rsid w:val="003448BE"/>
    <w:rsid w:val="003564DB"/>
    <w:rsid w:val="00377934"/>
    <w:rsid w:val="003A2D82"/>
    <w:rsid w:val="003D723A"/>
    <w:rsid w:val="003F2515"/>
    <w:rsid w:val="004027A3"/>
    <w:rsid w:val="0044458F"/>
    <w:rsid w:val="00470AA7"/>
    <w:rsid w:val="004A346D"/>
    <w:rsid w:val="004B1A30"/>
    <w:rsid w:val="004B243A"/>
    <w:rsid w:val="00504753"/>
    <w:rsid w:val="00523BDA"/>
    <w:rsid w:val="005A6DA2"/>
    <w:rsid w:val="005B44BF"/>
    <w:rsid w:val="005F1FAD"/>
    <w:rsid w:val="0065568C"/>
    <w:rsid w:val="006B0150"/>
    <w:rsid w:val="006B2394"/>
    <w:rsid w:val="006C0CCC"/>
    <w:rsid w:val="00703A1A"/>
    <w:rsid w:val="00755CB7"/>
    <w:rsid w:val="0076116C"/>
    <w:rsid w:val="007B4F10"/>
    <w:rsid w:val="00810F7E"/>
    <w:rsid w:val="0084698F"/>
    <w:rsid w:val="008708CD"/>
    <w:rsid w:val="008C2ABB"/>
    <w:rsid w:val="008E678B"/>
    <w:rsid w:val="008F6E92"/>
    <w:rsid w:val="00900CAF"/>
    <w:rsid w:val="0092404D"/>
    <w:rsid w:val="00952FA2"/>
    <w:rsid w:val="0097656B"/>
    <w:rsid w:val="00977499"/>
    <w:rsid w:val="009A6122"/>
    <w:rsid w:val="009C12B2"/>
    <w:rsid w:val="009D2C92"/>
    <w:rsid w:val="009F4C0B"/>
    <w:rsid w:val="00A86B63"/>
    <w:rsid w:val="00AE49FB"/>
    <w:rsid w:val="00AF1332"/>
    <w:rsid w:val="00B06186"/>
    <w:rsid w:val="00B33371"/>
    <w:rsid w:val="00C81D45"/>
    <w:rsid w:val="00C9324D"/>
    <w:rsid w:val="00CA21D6"/>
    <w:rsid w:val="00CC5138"/>
    <w:rsid w:val="00D05BE7"/>
    <w:rsid w:val="00D860A5"/>
    <w:rsid w:val="00E04816"/>
    <w:rsid w:val="00E32157"/>
    <w:rsid w:val="00E52FCA"/>
    <w:rsid w:val="00E6199E"/>
    <w:rsid w:val="00E77325"/>
    <w:rsid w:val="00EA2FDA"/>
    <w:rsid w:val="00EE433B"/>
    <w:rsid w:val="00F01203"/>
    <w:rsid w:val="00F01E08"/>
    <w:rsid w:val="00F37AEB"/>
    <w:rsid w:val="00F4762B"/>
    <w:rsid w:val="00F62717"/>
    <w:rsid w:val="00F6472F"/>
    <w:rsid w:val="00F83374"/>
    <w:rsid w:val="00FF45F3"/>
    <w:rsid w:val="0AD367D8"/>
    <w:rsid w:val="0F9D693C"/>
    <w:rsid w:val="2B3B751C"/>
    <w:rsid w:val="4439093B"/>
    <w:rsid w:val="45352760"/>
    <w:rsid w:val="460400DC"/>
    <w:rsid w:val="48AB2C3E"/>
    <w:rsid w:val="4EE80DDE"/>
    <w:rsid w:val="5DC302B2"/>
    <w:rsid w:val="61FA5D2D"/>
    <w:rsid w:val="68E940B9"/>
    <w:rsid w:val="7838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1A15F"/>
  <w15:docId w15:val="{7C0D8956-7427-42DA-AEB1-B0F73B0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User</cp:lastModifiedBy>
  <cp:revision>34</cp:revision>
  <dcterms:created xsi:type="dcterms:W3CDTF">2020-10-07T05:46:00Z</dcterms:created>
  <dcterms:modified xsi:type="dcterms:W3CDTF">2020-12-10T07:44:00Z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