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《基于课程改革背景下小学数学有效互动的实践研究》</w:t>
      </w:r>
    </w:p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题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研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究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评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稿</w:t>
      </w:r>
    </w:p>
    <w:tbl>
      <w:tblPr>
        <w:tblStyle w:val="style105"/>
        <w:tblW w:w="8652" w:type="dxa"/>
        <w:tblCellSpacing w:w="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33"/>
        <w:gridCol w:w="1451"/>
        <w:gridCol w:w="1407"/>
        <w:gridCol w:w="1751"/>
        <w:gridCol w:w="1184"/>
      </w:tblGrid>
      <w:tr>
        <w:trPr>
          <w:tblCellSpacing w:w="0" w:type="dxa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default"/>
                <w:b w:val="false"/>
                <w:lang w:val="en-US" w:eastAsia="zh-CN"/>
              </w:rPr>
              <w:t>9.30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执教者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val="en-US" w:eastAsia="zh-CN"/>
              </w:rPr>
            </w:pPr>
            <w:r>
              <w:rPr>
                <w:rFonts w:hint="eastAsia"/>
                <w:b w:val="false"/>
                <w:lang w:val="en-US" w:eastAsia="zh-CN"/>
              </w:rPr>
              <w:t>高云</w:t>
            </w:r>
          </w:p>
        </w:tc>
        <w:tc>
          <w:tcPr>
            <w:tcW w:w="1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三（</w:t>
            </w:r>
            <w:r>
              <w:rPr>
                <w:rFonts w:hint="default"/>
                <w:b w:val="false"/>
                <w:lang w:val="en-US" w:eastAsia="zh-CN"/>
              </w:rPr>
              <w:t>3</w:t>
            </w:r>
            <w:r>
              <w:rPr>
                <w:rFonts w:hint="eastAsia"/>
                <w:b w:val="false"/>
                <w:lang w:val="en-US" w:eastAsia="zh-CN"/>
              </w:rPr>
              <w:t>）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上课内容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整十数、整百数除以一位数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指 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Tahoma" w:cs="Tahoma" w:eastAsia="Tahoma" w:hAnsi="Tahom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  <w:lang w:eastAsia="zh-C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5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191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各项累计得分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90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分以上为优，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分为良，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79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为中，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分以下为差。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  <w:lang w:eastAsia="zh-CN"/>
              </w:rPr>
              <w:t>4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vMerge w:val="continue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评议人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包琴</w:t>
            </w:r>
          </w:p>
        </w:tc>
      </w:tr>
      <w:tr>
        <w:tblPrEx/>
        <w:trPr>
          <w:trHeight w:val="2535" w:hRule="atLeast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评课主题: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【评课观点1】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以学为中心的大问题的设计和研究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【案例回放】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600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以上题口算有什么相同处？不同处？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生：都是先去算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就得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个十，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就得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个百，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也可以说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20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个十。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师：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你看怎么样算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生：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不能看成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个百，不够除除不尽。看成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个十除以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个十是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不能平均分成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个百，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师过渡：首位不够除的要和后面一位一起看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再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平均分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，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看作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个百÷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能分成一个百吗？后面一位一起看看成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30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个十÷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得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6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个十是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  <w:t>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师：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怎么样算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？这个首位够除吗？怎办？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生：如果看成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个百不够除就和后面一位一起看成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个百÷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个十是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师：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210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怎么样算？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生：同桌互相说在交流！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  <w:r>
              <w:rPr>
                <w:rFonts w:hint="eastAsia"/>
                <w:b w:val="false"/>
                <w:lang w:eastAsia="zh-CN"/>
              </w:rPr>
              <w:t>【个人思考】：本课重点理清楚两三位数除以一位数的算理和算法，通过口算，笔算，估算，简算四算一体，多样性的算法灵活运用提升计算能力。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val="en-US" w:eastAsia="zh-CN"/>
              </w:rPr>
              <w:t>首先大问题设计有助于思维层层递进激发生生互动的深度，其次，探索要求中设计一个环节同桌交流促进生生互动的广度，第三，设计学生自主提问体现研究方向的互补，促进生生互动的宽度，四，展示学生并作评价，促进互动交流平台的自主。五，异中求同，同种求异的思考模型推进互动。</w:t>
            </w:r>
          </w:p>
        </w:tc>
      </w:tr>
    </w:tbl>
    <w:p>
      <w:pPr>
        <w:pStyle w:val="style94"/>
        <w:widowControl/>
        <w:spacing w:beforeAutospacing="false" w:after="0" w:afterAutospacing="false"/>
        <w:ind w:left="0" w:right="0" w:firstLine="0"/>
        <w:jc w:val="left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  <w:t> 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.LastResor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855</Words>
  <Pages>1</Pages>
  <Characters>909</Characters>
  <Application>WPS Office</Application>
  <DocSecurity>0</DocSecurity>
  <Paragraphs>101</Paragraphs>
  <ScaleCrop>false</ScaleCrop>
  <LinksUpToDate>false</LinksUpToDate>
  <CharactersWithSpaces>925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2018-11-04T05:58:05Z</dcterms:created>
  <dc:creator>iPhone</dc:creator>
  <lastModifiedBy>MHA-AL00</lastModifiedBy>
  <dcterms:modified xsi:type="dcterms:W3CDTF">2020-12-03T09:47:17Z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