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94"/>
        <w:widowControl/>
        <w:shd w:val="clear" w:color="auto" w:fill="ffffff"/>
        <w:spacing w:beforeAutospacing="false" w:after="0" w:afterAutospacing="false" w:lineRule="atLeast" w:line="405"/>
        <w:ind w:left="0" w:right="0" w:firstLine="0"/>
        <w:jc w:val="center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《基于课程改革背景下小学数学有效互动的实践研究》</w:t>
      </w:r>
    </w:p>
    <w:p>
      <w:pPr>
        <w:pStyle w:val="style94"/>
        <w:widowControl/>
        <w:shd w:val="clear" w:color="auto" w:fill="ffffff"/>
        <w:spacing w:beforeAutospacing="false" w:after="0" w:afterAutospacing="false" w:lineRule="atLeast" w:line="405"/>
        <w:ind w:left="0" w:right="0" w:firstLine="0"/>
        <w:jc w:val="center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课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题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研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究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评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课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稿</w:t>
      </w:r>
    </w:p>
    <w:tbl>
      <w:tblPr>
        <w:tblStyle w:val="style105"/>
        <w:tblW w:w="8652" w:type="dxa"/>
        <w:jc w:val="left"/>
        <w:tblCellSpacing w:w="0" w:type="dxa"/>
        <w:tblInd w:w="-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1333"/>
        <w:gridCol w:w="1451"/>
        <w:gridCol w:w="2106"/>
        <w:gridCol w:w="1052"/>
        <w:gridCol w:w="1184"/>
      </w:tblGrid>
      <w:tr>
        <w:trPr>
          <w:tblCellSpacing w:w="0" w:type="dxa"/>
          <w:jc w:val="left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11.17</w:t>
            </w:r>
          </w:p>
        </w:tc>
        <w:tc>
          <w:tcPr>
            <w:tcW w:w="14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执教者</w:t>
            </w: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both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李羚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班级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三（3）</w:t>
            </w:r>
          </w:p>
        </w:tc>
      </w:tr>
      <w:tr>
        <w:tblPrEx/>
        <w:trPr>
          <w:tblCellSpacing w:w="0" w:type="dxa"/>
          <w:jc w:val="left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上课内容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both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摆一摆，想一想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上课时间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eastAsia="zh-CN"/>
              </w:rPr>
            </w:pPr>
            <w:r>
              <w:rPr>
                <w:rFonts w:hint="default"/>
                <w:b w:val="false"/>
                <w:lang w:val="en-US" w:eastAsia="zh-CN"/>
              </w:rPr>
              <w:t>11.17</w:t>
            </w:r>
          </w:p>
        </w:tc>
      </w:tr>
      <w:tr>
        <w:tblPrEx/>
        <w:trPr>
          <w:tblCellSpacing w:w="0" w:type="dxa"/>
          <w:jc w:val="left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项目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指 标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分值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Tahoma" w:cs="Tahoma" w:eastAsia="Tahoma" w:hAnsi="Tahom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得分</w:t>
            </w:r>
          </w:p>
        </w:tc>
      </w:tr>
      <w:tr>
        <w:tblPrEx/>
        <w:trPr>
          <w:tblCellSpacing w:w="0" w:type="dxa"/>
          <w:jc w:val="left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目标设计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1.目标明确，符合课程标准要求和学生年段特点。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10</w:t>
            </w:r>
          </w:p>
        </w:tc>
      </w:tr>
      <w:tr>
        <w:tblPrEx/>
        <w:trPr>
          <w:tblCellSpacing w:w="0" w:type="dxa"/>
          <w:jc w:val="left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学习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任务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2．学习任务与要求明晰，有向开放、板块清晰。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  <w:lang w:eastAsia="zh-CN"/>
              </w:rPr>
              <w:t>3</w:t>
            </w:r>
          </w:p>
        </w:tc>
      </w:tr>
      <w:tr>
        <w:tblPrEx/>
        <w:trPr>
          <w:tblCellSpacing w:w="0" w:type="dxa"/>
          <w:jc w:val="left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3．自主探究、小组学习、同伴互动等学习方式恰当，活动路径清晰有效。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5</w:t>
            </w:r>
          </w:p>
        </w:tc>
      </w:tr>
      <w:tr>
        <w:tblPrEx/>
        <w:trPr>
          <w:tblCellSpacing w:w="0" w:type="dxa"/>
          <w:jc w:val="left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4．练习设计有层次，具有实践性和开放性。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10</w:t>
            </w:r>
          </w:p>
        </w:tc>
      </w:tr>
      <w:tr>
        <w:tblPrEx/>
        <w:trPr>
          <w:tblCellSpacing w:w="0" w:type="dxa"/>
          <w:jc w:val="left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交流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互动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5．教师及时巡视，捕捉典型资源。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  <w:jc w:val="left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6．课堂生成资源丰富，师生回应及时，并能合理转化为互动性资源。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  <w:jc w:val="left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7．生生互动质量高，能打开思路，提升学习水平。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  <w:jc w:val="left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总结提炼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8．师生归纳总结水平高，内容有延续性。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8</w:t>
            </w:r>
          </w:p>
        </w:tc>
      </w:tr>
      <w:tr>
        <w:tblPrEx/>
        <w:trPr>
          <w:tblCellSpacing w:w="0" w:type="dxa"/>
          <w:jc w:val="left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综合素养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9．普通话好，表达能力强；媒体 运用恰当有效；书写规范，板书设计合理有序。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8</w:t>
            </w:r>
          </w:p>
        </w:tc>
      </w:tr>
      <w:tr>
        <w:tblPrEx/>
        <w:trPr>
          <w:trHeight w:val="315" w:hRule="atLeast"/>
          <w:tblCellSpacing w:w="0" w:type="dxa"/>
          <w:jc w:val="left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4890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各项累计得分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90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分以上为优，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89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—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80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分为良，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79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—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60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为中，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60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分以下为差。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9</w:t>
            </w: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  <w:lang w:eastAsia="zh-CN"/>
              </w:rPr>
              <w:t>4</w:t>
            </w:r>
          </w:p>
        </w:tc>
      </w:tr>
      <w:tr>
        <w:tblPrEx/>
        <w:trPr>
          <w:trHeight w:val="315" w:hRule="atLeast"/>
          <w:tblCellSpacing w:w="0" w:type="dxa"/>
          <w:jc w:val="left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890" w:type="dxa"/>
            <w:gridSpan w:val="3"/>
            <w:vMerge w:val="continue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评议人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包琴</w:t>
            </w:r>
          </w:p>
        </w:tc>
      </w:tr>
      <w:tr>
        <w:tblPrEx/>
        <w:trPr>
          <w:trHeight w:val="2535" w:hRule="atLeast"/>
          <w:tblCellSpacing w:w="0" w:type="dxa"/>
          <w:jc w:val="left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评课主题: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12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【评课观点1】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生生互动有哪些策略？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【案例回放】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呈现骰子三个叠放的样子，问隐藏了那些数字他们的和是20。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 xml:space="preserve"> 生： 6+4+3+5+220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生：......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师：对吗？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师：用一个骰子填表格，发现什么规律？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生：上面6，下面1；上面5，下面2；上面4，下面3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师：上下和都是7。同时板书。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活动一：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要求：你能用2个骰子摆出不同的数吗？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1，摆一摆，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2，写一写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3，算一算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4，说一说，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反馈学生作品：两个骰子表格，思考有什么相同的地方？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生：14-上面=隐藏数字和（板书）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活动二：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你能用3个骰子多个骰子摆出不同的数吗？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要求：思考规律如图上面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活动三：你能创造出来一个空白骰子的？上下和是几？</w:t>
            </w:r>
            <w:bookmarkStart w:id="0" w:name="_GoBack"/>
            <w:bookmarkEnd w:id="0"/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【个人思考】：本节数学实验课能够通过3个叠放的骰子隐藏的数字和展开教学，教结构：提出问题-探究问题-发现规律-应用规律，从1个骰子，2个，3个，4，等多个骰子的教结构-用结构的推进教学核心过程，让儿童思维生长的区域有所突，在“摆一摆，写一写，算一算，说一说”的基础上提升思维水平,建构实验课模式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 xml:space="preserve">  三个活动即</w:t>
            </w:r>
            <w:r>
              <w:rPr>
                <w:rFonts w:hint="eastAsia"/>
                <w:b w:val="false"/>
                <w:lang w:val="en-US" w:eastAsia="zh-CN"/>
              </w:rPr>
              <w:t>三个大问题设计有助于思维层层递进激发生生互动的深度，其次，探索要求中设计一个环节同桌交流促进生生互动的广度，第三，设计学生自主提问体现研究方向的互补，促进生生互动的宽度，第四学生异中求同，同种求异的思考模型推进互动。</w:t>
            </w:r>
          </w:p>
        </w:tc>
      </w:tr>
    </w:tbl>
    <w:p>
      <w:pPr>
        <w:pStyle w:val="style94"/>
        <w:widowControl/>
        <w:spacing w:beforeAutospacing="false" w:after="0" w:afterAutospacing="false"/>
        <w:ind w:left="0" w:right="0" w:firstLine="0"/>
        <w:jc w:val="left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  <w:t> 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altName w:val="Apple Color Emoj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LastResort">
    <w:altName w:val=".LastResor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896</Words>
  <Pages>1</Pages>
  <Characters>948</Characters>
  <Application>WPS Office</Application>
  <DocSecurity>0</DocSecurity>
  <Paragraphs>105</Paragraphs>
  <ScaleCrop>false</ScaleCrop>
  <LinksUpToDate>false</LinksUpToDate>
  <CharactersWithSpaces>962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2018-11-05T21:58:05Z</dcterms:created>
  <dc:creator>iPhone</dc:creator>
  <lastModifiedBy>MHA-AL00</lastModifiedBy>
  <dcterms:modified xsi:type="dcterms:W3CDTF">2020-12-03T09:28:32Z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