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2107"/>
        <w:gridCol w:w="149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59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sz w:val="28"/>
                <w:szCs w:val="28"/>
                <w:lang w:eastAsia="zh-CN"/>
              </w:rPr>
              <w:t>周日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红烧鸡腿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如意菜肉丝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红烧狮子头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莴苣炒蛋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三丝包菜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卤水肫肝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鱼香肉丝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蒜泥菠菜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酱汁鸭块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豇豆肉丝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中椒银芽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周六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百叶结烧肉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三色肉糜冬瓜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11月30日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红烧鸡腿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如意菜肉丝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黄豆芽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 xml:space="preserve"> 百叶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胡萝卜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木耳白菜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干木耳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73"/>
        <w:gridCol w:w="708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红烧狮子头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莴苣炒蛋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莴苣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三丝包菜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豆腐汤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豆腐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百叶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豆渣饼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70"/>
        <w:gridCol w:w="794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卤水肫肝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肫肝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鱼香肉丝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土豆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胡萝卜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蒜泥菠菜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菠菜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1"/>
                <w:lang w:val="en-US" w:eastAsia="zh-CN"/>
              </w:rPr>
              <w:t>冬瓜海带汤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冬瓜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海带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22"/>
        <w:gridCol w:w="724"/>
        <w:gridCol w:w="588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酱汁鸭块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鸭块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豇豆肉丝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肉丝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1"/>
                <w:lang w:val="en-US" w:eastAsia="zh-CN"/>
              </w:rPr>
              <w:t>中椒绿豆芽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中椒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绿豆芽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酸辣鸭血汤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3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621"/>
        <w:gridCol w:w="788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百叶结烧肉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小块肉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百叶结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三色肉糜冬瓜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 xml:space="preserve">  肉糜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冬瓜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60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胡萝卜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炒青菜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草鸡蛋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紫菜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十一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二十七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6140A"/>
    <w:multiLevelType w:val="singleLevel"/>
    <w:tmpl w:val="91E6140A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1972055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7F1B2A"/>
    <w:rsid w:val="0DCF0EAA"/>
    <w:rsid w:val="0DFF1BAC"/>
    <w:rsid w:val="0EEF1EDD"/>
    <w:rsid w:val="0F2B611E"/>
    <w:rsid w:val="11E60E1C"/>
    <w:rsid w:val="128D724E"/>
    <w:rsid w:val="134A6182"/>
    <w:rsid w:val="15637BD3"/>
    <w:rsid w:val="15ED3599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9657DE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D502E3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2020-11-25T07:55:56Z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