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b/>
          <w:bCs/>
          <w:sz w:val="48"/>
          <w:szCs w:val="48"/>
        </w:rPr>
      </w:pPr>
      <w:bookmarkStart w:id="0" w:name="_Hlk2149331"/>
      <w:r>
        <w:rPr>
          <w:rFonts w:hint="eastAsia" w:ascii="黑体" w:hAnsi="黑体" w:eastAsia="黑体"/>
          <w:bCs/>
          <w:sz w:val="32"/>
          <w:szCs w:val="32"/>
        </w:rPr>
        <w:t>附件1</w:t>
      </w:r>
    </w:p>
    <w:p>
      <w:pPr>
        <w:ind w:firstLine="1373" w:firstLineChars="285"/>
        <w:rPr>
          <w:rFonts w:ascii="宋体" w:hAnsi="宋体"/>
          <w:b/>
          <w:bCs/>
          <w:sz w:val="48"/>
          <w:szCs w:val="48"/>
        </w:rPr>
      </w:pPr>
    </w:p>
    <w:p>
      <w:pPr>
        <w:ind w:firstLine="1373" w:firstLineChars="285"/>
        <w:rPr>
          <w:rFonts w:ascii="宋体" w:hAnsi="宋体"/>
          <w:b/>
          <w:bCs/>
          <w:sz w:val="48"/>
          <w:szCs w:val="48"/>
        </w:rPr>
      </w:pPr>
    </w:p>
    <w:p>
      <w:pPr>
        <w:ind w:firstLine="1373" w:firstLineChars="285"/>
        <w:rPr>
          <w:rFonts w:ascii="宋体" w:hAnsi="宋体"/>
          <w:b/>
          <w:bCs/>
          <w:sz w:val="48"/>
          <w:szCs w:val="48"/>
        </w:rPr>
      </w:pPr>
      <w:r>
        <w:rPr>
          <w:rFonts w:hint="eastAsia" w:ascii="宋体" w:hAnsi="宋体"/>
          <w:b/>
          <w:bCs/>
          <w:sz w:val="48"/>
          <w:szCs w:val="48"/>
        </w:rPr>
        <w:t>江苏省教育信息化研究课题</w:t>
      </w:r>
    </w:p>
    <w:p>
      <w:pPr>
        <w:ind w:firstLine="2655" w:firstLineChars="551"/>
        <w:rPr>
          <w:rFonts w:ascii="宋体" w:hAnsi="宋体"/>
          <w:b/>
          <w:bCs/>
          <w:sz w:val="48"/>
          <w:szCs w:val="48"/>
        </w:rPr>
      </w:pPr>
    </w:p>
    <w:p>
      <w:pPr>
        <w:spacing w:line="480" w:lineRule="auto"/>
        <w:jc w:val="center"/>
        <w:rPr>
          <w:rFonts w:ascii="宋体"/>
          <w:b/>
          <w:sz w:val="52"/>
        </w:rPr>
      </w:pPr>
      <w:r>
        <w:rPr>
          <w:rFonts w:hint="eastAsia" w:ascii="宋体" w:hAnsi="宋体"/>
          <w:b/>
          <w:bCs/>
          <w:sz w:val="48"/>
          <w:szCs w:val="48"/>
        </w:rPr>
        <w:t>成果鉴定申请·审批书</w:t>
      </w:r>
    </w:p>
    <w:p>
      <w:pPr>
        <w:ind w:firstLine="1140" w:firstLineChars="300"/>
        <w:rPr>
          <w:rFonts w:ascii="宋体"/>
          <w:spacing w:val="30"/>
          <w:sz w:val="32"/>
        </w:rPr>
      </w:pPr>
    </w:p>
    <w:p>
      <w:pPr>
        <w:ind w:firstLine="1140" w:firstLineChars="300"/>
        <w:rPr>
          <w:rFonts w:ascii="宋体"/>
          <w:spacing w:val="30"/>
          <w:sz w:val="32"/>
        </w:rPr>
      </w:pPr>
    </w:p>
    <w:p>
      <w:pPr>
        <w:ind w:firstLine="1140" w:firstLineChars="300"/>
        <w:rPr>
          <w:rFonts w:ascii="宋体"/>
          <w:spacing w:val="30"/>
          <w:sz w:val="32"/>
        </w:rPr>
      </w:pPr>
    </w:p>
    <w:p>
      <w:pPr>
        <w:ind w:firstLine="1140" w:firstLineChars="300"/>
        <w:rPr>
          <w:rFonts w:ascii="宋体"/>
          <w:spacing w:val="30"/>
          <w:sz w:val="32"/>
        </w:rPr>
      </w:pPr>
    </w:p>
    <w:p>
      <w:pPr>
        <w:spacing w:line="820" w:lineRule="exact"/>
        <w:ind w:firstLine="1079" w:firstLineChars="284"/>
        <w:rPr>
          <w:rFonts w:ascii="宋体" w:hAnsi="宋体"/>
          <w:sz w:val="32"/>
        </w:rPr>
      </w:pPr>
      <w:r>
        <w:rPr>
          <w:rFonts w:hint="eastAsia" w:ascii="宋体"/>
          <w:spacing w:val="30"/>
          <w:sz w:val="32"/>
        </w:rPr>
        <w:t>课题编号</w:t>
      </w:r>
      <w:r>
        <w:rPr>
          <w:rFonts w:ascii="宋体" w:hAnsi="宋体"/>
          <w:sz w:val="32"/>
        </w:rPr>
        <w:t>_____</w:t>
      </w:r>
      <w:r>
        <w:rPr>
          <w:rFonts w:ascii="宋体" w:hAnsi="宋体"/>
          <w:sz w:val="32"/>
          <w:u w:val="single"/>
        </w:rPr>
        <w:t>_</w:t>
      </w:r>
      <w:r>
        <w:rPr>
          <w:rFonts w:hint="eastAsia" w:ascii="宋体" w:hAnsi="宋体"/>
          <w:sz w:val="32"/>
          <w:u w:val="single"/>
        </w:rPr>
        <w:t>20171102</w:t>
      </w:r>
      <w:r>
        <w:rPr>
          <w:rFonts w:ascii="宋体" w:hAnsi="宋体"/>
          <w:sz w:val="32"/>
          <w:u w:val="single"/>
        </w:rPr>
        <w:t>__</w:t>
      </w:r>
      <w:r>
        <w:rPr>
          <w:rFonts w:ascii="宋体" w:hAnsi="宋体"/>
          <w:sz w:val="32"/>
        </w:rPr>
        <w:t>________________</w:t>
      </w:r>
    </w:p>
    <w:p>
      <w:pPr>
        <w:spacing w:line="820" w:lineRule="exact"/>
        <w:ind w:firstLine="1068" w:firstLineChars="334"/>
        <w:rPr>
          <w:rFonts w:ascii="宋体" w:hAnsi="宋体"/>
          <w:bCs/>
          <w:sz w:val="32"/>
          <w:szCs w:val="32"/>
        </w:rPr>
      </w:pPr>
      <w:r>
        <w:rPr>
          <w:rFonts w:hint="eastAsia" w:ascii="宋体" w:hAnsi="宋体"/>
          <w:bCs/>
          <w:sz w:val="32"/>
          <w:szCs w:val="32"/>
        </w:rPr>
        <w:t>课题类别</w:t>
      </w:r>
      <w:r>
        <w:rPr>
          <w:rFonts w:ascii="宋体" w:hAnsi="宋体"/>
          <w:sz w:val="32"/>
        </w:rPr>
        <w:t>________</w:t>
      </w:r>
      <w:r>
        <w:rPr>
          <w:rFonts w:hint="eastAsia" w:ascii="宋体" w:hAnsi="宋体"/>
          <w:sz w:val="32"/>
          <w:u w:val="single"/>
        </w:rPr>
        <w:t>资助</w:t>
      </w:r>
      <w:r>
        <w:rPr>
          <w:rFonts w:ascii="宋体" w:hAnsi="宋体"/>
          <w:sz w:val="32"/>
          <w:u w:val="single"/>
        </w:rPr>
        <w:t>__</w:t>
      </w:r>
      <w:r>
        <w:rPr>
          <w:rFonts w:ascii="宋体" w:hAnsi="宋体"/>
          <w:sz w:val="32"/>
        </w:rPr>
        <w:t>____________________</w:t>
      </w:r>
    </w:p>
    <w:p>
      <w:pPr>
        <w:spacing w:line="820" w:lineRule="exact"/>
        <w:ind w:left="2721" w:leftChars="534" w:hanging="1600" w:hangingChars="500"/>
        <w:rPr>
          <w:rFonts w:ascii="宋体"/>
          <w:sz w:val="32"/>
          <w:u w:val="single"/>
        </w:rPr>
      </w:pPr>
      <w:r>
        <w:rPr>
          <w:rFonts w:hint="eastAsia" w:ascii="宋体"/>
          <w:sz w:val="32"/>
        </w:rPr>
        <w:t>课题名称</w:t>
      </w:r>
      <w:r>
        <w:rPr>
          <w:rFonts w:hint="eastAsia" w:ascii="宋体"/>
          <w:sz w:val="32"/>
          <w:u w:val="single"/>
        </w:rPr>
        <w:t>“和美教育”理念下微课对提高内地西藏初中校学生理科素养的研究</w:t>
      </w:r>
    </w:p>
    <w:p>
      <w:pPr>
        <w:spacing w:line="820" w:lineRule="exact"/>
        <w:ind w:firstLine="1079" w:firstLineChars="284"/>
        <w:rPr>
          <w:rFonts w:ascii="宋体"/>
          <w:spacing w:val="30"/>
          <w:sz w:val="32"/>
        </w:rPr>
      </w:pPr>
      <w:r>
        <w:rPr>
          <w:rFonts w:hint="eastAsia" w:ascii="宋体"/>
          <w:spacing w:val="30"/>
          <w:sz w:val="32"/>
        </w:rPr>
        <w:t>课题负责人</w:t>
      </w:r>
      <w:r>
        <w:rPr>
          <w:rFonts w:ascii="宋体" w:hAnsi="宋体"/>
          <w:sz w:val="32"/>
        </w:rPr>
        <w:t>____</w:t>
      </w:r>
      <w:r>
        <w:rPr>
          <w:rFonts w:ascii="宋体" w:hAnsi="宋体"/>
          <w:sz w:val="32"/>
          <w:u w:val="single"/>
        </w:rPr>
        <w:t>_商汉勇</w:t>
      </w:r>
      <w:r>
        <w:rPr>
          <w:rFonts w:ascii="宋体" w:hAnsi="宋体"/>
          <w:sz w:val="32"/>
        </w:rPr>
        <w:t>_____________________</w:t>
      </w:r>
    </w:p>
    <w:p>
      <w:pPr>
        <w:spacing w:line="820" w:lineRule="exact"/>
        <w:ind w:firstLine="1068" w:firstLineChars="334"/>
        <w:rPr>
          <w:rFonts w:ascii="宋体"/>
          <w:sz w:val="32"/>
        </w:rPr>
      </w:pPr>
      <w:r>
        <w:rPr>
          <w:rFonts w:hint="eastAsia" w:ascii="宋体"/>
          <w:sz w:val="32"/>
        </w:rPr>
        <w:t>所 在 单 位</w:t>
      </w:r>
      <w:r>
        <w:rPr>
          <w:rFonts w:ascii="宋体" w:hAnsi="宋体"/>
          <w:sz w:val="32"/>
        </w:rPr>
        <w:t>____</w:t>
      </w:r>
      <w:r>
        <w:rPr>
          <w:rFonts w:ascii="宋体" w:hAnsi="宋体"/>
          <w:sz w:val="32"/>
          <w:u w:val="single"/>
        </w:rPr>
        <w:t>常州西藏民族中学</w:t>
      </w:r>
      <w:r>
        <w:rPr>
          <w:rFonts w:ascii="宋体" w:hAnsi="宋体"/>
          <w:sz w:val="32"/>
        </w:rPr>
        <w:t>_____________</w:t>
      </w:r>
    </w:p>
    <w:p>
      <w:pPr>
        <w:spacing w:line="820" w:lineRule="exact"/>
        <w:ind w:firstLine="1068" w:firstLineChars="334"/>
        <w:rPr>
          <w:rFonts w:ascii="宋体"/>
          <w:sz w:val="32"/>
        </w:rPr>
      </w:pPr>
      <w:r>
        <w:rPr>
          <w:rFonts w:hint="eastAsia" w:ascii="宋体"/>
          <w:sz w:val="32"/>
        </w:rPr>
        <w:t>填 表 日 期</w:t>
      </w:r>
      <w:r>
        <w:rPr>
          <w:rFonts w:ascii="宋体" w:hAnsi="宋体"/>
          <w:sz w:val="32"/>
        </w:rPr>
        <w:t>______</w:t>
      </w:r>
      <w:r>
        <w:rPr>
          <w:rFonts w:ascii="宋体" w:hAnsi="宋体"/>
          <w:sz w:val="32"/>
          <w:u w:val="single"/>
        </w:rPr>
        <w:t>_</w:t>
      </w:r>
      <w:r>
        <w:rPr>
          <w:rFonts w:hint="eastAsia" w:ascii="宋体" w:hAnsi="宋体"/>
          <w:sz w:val="32"/>
          <w:u w:val="single"/>
        </w:rPr>
        <w:t>2020</w:t>
      </w:r>
      <w:r>
        <w:rPr>
          <w:rFonts w:ascii="宋体" w:hAnsi="宋体"/>
          <w:sz w:val="32"/>
          <w:u w:val="single"/>
        </w:rPr>
        <w:t>年3月</w:t>
      </w:r>
      <w:r>
        <w:rPr>
          <w:rFonts w:ascii="宋体" w:hAnsi="宋体"/>
          <w:sz w:val="32"/>
        </w:rPr>
        <w:t>__</w:t>
      </w:r>
      <w:r>
        <w:rPr>
          <w:rFonts w:ascii="宋体" w:hAnsi="宋体"/>
          <w:sz w:val="32"/>
          <w:u w:val="single"/>
        </w:rPr>
        <w:t>_</w:t>
      </w:r>
      <w:r>
        <w:rPr>
          <w:rFonts w:hint="eastAsia" w:ascii="宋体" w:hAnsi="宋体"/>
          <w:sz w:val="32"/>
          <w:u w:val="single"/>
        </w:rPr>
        <w:t xml:space="preserve">    </w:t>
      </w:r>
      <w:r>
        <w:rPr>
          <w:rFonts w:ascii="宋体" w:hAnsi="宋体"/>
          <w:sz w:val="32"/>
          <w:u w:val="single"/>
        </w:rPr>
        <w:t>_</w:t>
      </w:r>
      <w:r>
        <w:rPr>
          <w:rFonts w:ascii="宋体" w:hAnsi="宋体"/>
          <w:sz w:val="32"/>
        </w:rPr>
        <w:t>_______</w:t>
      </w:r>
    </w:p>
    <w:p>
      <w:pPr>
        <w:jc w:val="center"/>
        <w:rPr>
          <w:rFonts w:ascii="宋体"/>
          <w:b/>
          <w:sz w:val="36"/>
        </w:rPr>
      </w:pPr>
    </w:p>
    <w:p>
      <w:pPr>
        <w:jc w:val="center"/>
        <w:rPr>
          <w:rFonts w:ascii="宋体"/>
          <w:b/>
          <w:sz w:val="36"/>
        </w:rPr>
      </w:pPr>
    </w:p>
    <w:p>
      <w:pPr>
        <w:jc w:val="center"/>
        <w:rPr>
          <w:b/>
          <w:sz w:val="44"/>
        </w:rPr>
      </w:pPr>
      <w:r>
        <w:rPr>
          <w:rFonts w:hint="eastAsia" w:ascii="宋体" w:hAnsi="宋体"/>
          <w:bCs/>
          <w:sz w:val="28"/>
        </w:rPr>
        <w:t>2019年12月</w:t>
      </w:r>
    </w:p>
    <w:p>
      <w:pPr>
        <w:jc w:val="center"/>
        <w:rPr>
          <w:rFonts w:ascii="黑体" w:hAnsi="宋体" w:eastAsia="黑体"/>
          <w:b/>
          <w:sz w:val="44"/>
        </w:rPr>
      </w:pPr>
    </w:p>
    <w:p>
      <w:pPr>
        <w:jc w:val="center"/>
        <w:rPr>
          <w:rFonts w:ascii="黑体" w:hAnsi="宋体" w:eastAsia="黑体"/>
          <w:b/>
          <w:sz w:val="44"/>
        </w:rPr>
      </w:pPr>
      <w:r>
        <w:rPr>
          <w:rFonts w:hint="eastAsia" w:ascii="黑体" w:hAnsi="宋体" w:eastAsia="黑体"/>
          <w:b/>
          <w:sz w:val="44"/>
        </w:rPr>
        <w:t xml:space="preserve">声 </w:t>
      </w:r>
      <w:r>
        <w:rPr>
          <w:rFonts w:ascii="黑体" w:hAnsi="宋体" w:eastAsia="黑体"/>
          <w:b/>
          <w:sz w:val="44"/>
        </w:rPr>
        <w:t xml:space="preserve"> </w:t>
      </w:r>
      <w:r>
        <w:rPr>
          <w:rFonts w:hint="eastAsia" w:ascii="黑体" w:hAnsi="宋体" w:eastAsia="黑体"/>
          <w:b/>
          <w:sz w:val="44"/>
        </w:rPr>
        <w:t xml:space="preserve"> </w:t>
      </w:r>
      <w:r>
        <w:rPr>
          <w:rFonts w:ascii="黑体" w:hAnsi="宋体" w:eastAsia="黑体"/>
          <w:b/>
          <w:sz w:val="44"/>
        </w:rPr>
        <w:t xml:space="preserve"> </w:t>
      </w:r>
      <w:r>
        <w:rPr>
          <w:rFonts w:hint="eastAsia" w:ascii="黑体" w:hAnsi="宋体" w:eastAsia="黑体"/>
          <w:b/>
          <w:sz w:val="44"/>
        </w:rPr>
        <w:t xml:space="preserve"> 明</w:t>
      </w:r>
    </w:p>
    <w:p>
      <w:pPr>
        <w:spacing w:line="360" w:lineRule="exact"/>
        <w:ind w:firstLine="648"/>
        <w:rPr>
          <w:rFonts w:ascii="仿宋_GB2312" w:hAnsi="宋体" w:eastAsia="仿宋_GB2312"/>
          <w:sz w:val="32"/>
        </w:rPr>
      </w:pPr>
    </w:p>
    <w:p>
      <w:pPr>
        <w:spacing w:line="420" w:lineRule="exact"/>
        <w:ind w:firstLine="640"/>
        <w:rPr>
          <w:rFonts w:ascii="仿宋_GB2312" w:hAnsi="宋体" w:eastAsia="仿宋_GB2312"/>
          <w:sz w:val="32"/>
        </w:rPr>
      </w:pPr>
      <w:r>
        <w:rPr>
          <w:rFonts w:hint="eastAsia" w:ascii="仿宋_GB2312" w:hAnsi="宋体" w:eastAsia="仿宋_GB2312"/>
          <w:sz w:val="32"/>
        </w:rPr>
        <w:t>本鉴定申请的研究成果不存在知识产权争议；江苏省电化教育馆（省教育信息化中心）拥有宣传介绍、推广应用本成果的权力。特此声明。</w:t>
      </w:r>
    </w:p>
    <w:p>
      <w:pPr>
        <w:spacing w:line="420" w:lineRule="exact"/>
        <w:ind w:firstLine="3840"/>
        <w:rPr>
          <w:rFonts w:ascii="仿宋_GB2312" w:hAnsi="宋体" w:eastAsia="仿宋_GB2312"/>
          <w:sz w:val="32"/>
        </w:rPr>
      </w:pPr>
    </w:p>
    <w:p>
      <w:pPr>
        <w:spacing w:line="420" w:lineRule="exact"/>
        <w:ind w:firstLine="3840"/>
        <w:rPr>
          <w:rFonts w:ascii="仿宋_GB2312" w:hAnsi="宋体" w:eastAsia="仿宋_GB2312"/>
          <w:sz w:val="32"/>
        </w:rPr>
      </w:pPr>
      <w:r>
        <w:rPr>
          <w:rFonts w:hint="eastAsia" w:ascii="仿宋_GB2312" w:hAnsi="宋体" w:eastAsia="仿宋_GB2312"/>
          <w:sz w:val="32"/>
        </w:rPr>
        <w:t>课题负责人（签字）：</w:t>
      </w:r>
    </w:p>
    <w:p>
      <w:pPr>
        <w:spacing w:line="420" w:lineRule="exact"/>
        <w:ind w:firstLine="6080"/>
        <w:rPr>
          <w:rFonts w:ascii="仿宋_GB2312" w:hAnsi="宋体" w:eastAsia="仿宋_GB2312"/>
          <w:sz w:val="32"/>
        </w:rPr>
      </w:pPr>
      <w:r>
        <w:rPr>
          <w:rFonts w:hint="eastAsia" w:ascii="仿宋_GB2312" w:hAnsi="宋体" w:eastAsia="仿宋_GB2312"/>
          <w:sz w:val="32"/>
        </w:rPr>
        <w:t>年   月   日</w:t>
      </w:r>
    </w:p>
    <w:p>
      <w:pPr>
        <w:spacing w:line="360" w:lineRule="exact"/>
        <w:jc w:val="center"/>
        <w:rPr>
          <w:rFonts w:ascii="宋体" w:hAnsi="宋体"/>
          <w:b/>
          <w:sz w:val="36"/>
        </w:rPr>
      </w:pPr>
    </w:p>
    <w:p>
      <w:pPr>
        <w:spacing w:line="360" w:lineRule="exact"/>
        <w:jc w:val="center"/>
        <w:rPr>
          <w:rFonts w:ascii="宋体" w:hAnsi="宋体"/>
          <w:b/>
          <w:sz w:val="36"/>
        </w:rPr>
      </w:pPr>
    </w:p>
    <w:p>
      <w:pPr>
        <w:spacing w:line="360" w:lineRule="exact"/>
        <w:jc w:val="center"/>
        <w:rPr>
          <w:rFonts w:ascii="宋体" w:hAnsi="宋体"/>
          <w:b/>
          <w:sz w:val="36"/>
        </w:rPr>
      </w:pPr>
    </w:p>
    <w:p>
      <w:pPr>
        <w:spacing w:line="440" w:lineRule="exact"/>
        <w:jc w:val="center"/>
        <w:rPr>
          <w:rFonts w:ascii="宋体" w:hAnsi="宋体"/>
          <w:b/>
          <w:sz w:val="36"/>
        </w:rPr>
      </w:pPr>
      <w:r>
        <w:rPr>
          <w:rFonts w:hint="eastAsia" w:ascii="宋体" w:hAnsi="宋体"/>
          <w:b/>
          <w:sz w:val="36"/>
        </w:rPr>
        <w:t>填  表  说  明</w:t>
      </w:r>
    </w:p>
    <w:p>
      <w:pPr>
        <w:spacing w:line="440" w:lineRule="exact"/>
        <w:jc w:val="center"/>
        <w:rPr>
          <w:rFonts w:ascii="宋体" w:hAnsi="宋体"/>
          <w:b/>
          <w:sz w:val="36"/>
        </w:rPr>
      </w:pPr>
    </w:p>
    <w:p>
      <w:pPr>
        <w:pStyle w:val="2"/>
        <w:spacing w:line="440" w:lineRule="exact"/>
        <w:rPr>
          <w:sz w:val="28"/>
        </w:rPr>
      </w:pPr>
      <w:r>
        <w:rPr>
          <w:rFonts w:hint="eastAsia"/>
          <w:sz w:val="28"/>
        </w:rPr>
        <w:t>一、本表仅适用于江苏省教育信息化研究课题的鉴定结题申请。</w:t>
      </w:r>
    </w:p>
    <w:p>
      <w:pPr>
        <w:pStyle w:val="2"/>
        <w:spacing w:line="440" w:lineRule="exact"/>
        <w:rPr>
          <w:sz w:val="28"/>
        </w:rPr>
      </w:pPr>
      <w:r>
        <w:rPr>
          <w:rFonts w:hint="eastAsia"/>
          <w:sz w:val="28"/>
        </w:rPr>
        <w:t>二、按照有关规定认真如实地填写表内栏目。无内容填写的栏目可空白；所填栏目不够用时可加附页。</w:t>
      </w:r>
    </w:p>
    <w:p>
      <w:pPr>
        <w:pStyle w:val="2"/>
        <w:spacing w:line="440" w:lineRule="exact"/>
        <w:rPr>
          <w:sz w:val="28"/>
        </w:rPr>
      </w:pPr>
      <w:r>
        <w:rPr>
          <w:rFonts w:hint="eastAsia"/>
          <w:sz w:val="28"/>
        </w:rPr>
        <w:t>三、“工作报告”及“研究报告”另页提供。</w:t>
      </w:r>
    </w:p>
    <w:p>
      <w:pPr>
        <w:pStyle w:val="2"/>
        <w:spacing w:line="440" w:lineRule="exact"/>
        <w:rPr>
          <w:sz w:val="28"/>
        </w:rPr>
      </w:pPr>
      <w:r>
        <w:rPr>
          <w:rFonts w:hint="eastAsia"/>
          <w:sz w:val="28"/>
        </w:rPr>
        <w:t>四、课题研究完成后直接向鉴定组织单位报送鉴定材料，材料包括：课题开题报告、中期报告、《成果鉴定申请</w:t>
      </w:r>
      <w:r>
        <w:rPr>
          <w:rFonts w:hint="eastAsia" w:eastAsia="宋体"/>
          <w:sz w:val="28"/>
        </w:rPr>
        <w:t>•</w:t>
      </w:r>
      <w:r>
        <w:rPr>
          <w:rFonts w:hint="eastAsia"/>
          <w:sz w:val="28"/>
        </w:rPr>
        <w:t>审批书》、成果主件（研究总报告）、成果附件（调研报告、研究工作总结、已发表的系列研究论文等）、相关证明（领导批示、获奖情况、媒体报道及被决策采纳等的证明文件）、重要变更的申请及获准批复。</w:t>
      </w:r>
    </w:p>
    <w:p>
      <w:pPr>
        <w:pStyle w:val="2"/>
        <w:spacing w:line="440" w:lineRule="exact"/>
        <w:rPr>
          <w:sz w:val="28"/>
        </w:rPr>
      </w:pPr>
      <w:r>
        <w:rPr>
          <w:rFonts w:hint="eastAsia"/>
          <w:sz w:val="28"/>
        </w:rPr>
        <w:t>五、所有材料请以Word及PDF两种格式提交电子稿。</w:t>
      </w:r>
    </w:p>
    <w:p>
      <w:pPr>
        <w:spacing w:after="240"/>
        <w:rPr>
          <w:rFonts w:ascii="宋体" w:hAnsi="宋体"/>
          <w:sz w:val="28"/>
          <w:szCs w:val="28"/>
        </w:rPr>
      </w:pPr>
    </w:p>
    <w:p>
      <w:pPr>
        <w:spacing w:after="240"/>
        <w:rPr>
          <w:rFonts w:ascii="宋体" w:hAnsi="宋体"/>
          <w:sz w:val="28"/>
          <w:szCs w:val="28"/>
        </w:rPr>
      </w:pPr>
    </w:p>
    <w:p>
      <w:pPr>
        <w:spacing w:line="360" w:lineRule="exact"/>
        <w:rPr>
          <w:rFonts w:ascii="黑体" w:eastAsia="黑体"/>
          <w:sz w:val="32"/>
        </w:rPr>
      </w:pPr>
      <w:r>
        <w:rPr>
          <w:rFonts w:hint="eastAsia" w:ascii="黑体" w:eastAsia="黑体"/>
          <w:sz w:val="32"/>
        </w:rPr>
        <w:br w:type="page"/>
      </w:r>
      <w:r>
        <w:rPr>
          <w:rFonts w:hint="eastAsia" w:ascii="黑体" w:eastAsia="黑体"/>
          <w:sz w:val="32"/>
        </w:rPr>
        <w:t>一、基本情况</w:t>
      </w:r>
    </w:p>
    <w:tbl>
      <w:tblPr>
        <w:tblStyle w:val="6"/>
        <w:tblW w:w="850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511"/>
        <w:gridCol w:w="1417"/>
        <w:gridCol w:w="1134"/>
        <w:gridCol w:w="850"/>
        <w:gridCol w:w="1418"/>
        <w:gridCol w:w="425"/>
        <w:gridCol w:w="99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4" w:type="dxa"/>
            <w:vMerge w:val="restart"/>
            <w:vAlign w:val="center"/>
          </w:tcPr>
          <w:p>
            <w:pPr>
              <w:spacing w:line="500" w:lineRule="exact"/>
              <w:jc w:val="center"/>
              <w:rPr>
                <w:rFonts w:ascii="宋体"/>
                <w:sz w:val="28"/>
              </w:rPr>
            </w:pPr>
          </w:p>
          <w:p>
            <w:pPr>
              <w:spacing w:line="500" w:lineRule="exact"/>
              <w:jc w:val="center"/>
              <w:rPr>
                <w:rFonts w:ascii="宋体"/>
                <w:sz w:val="28"/>
              </w:rPr>
            </w:pPr>
            <w:r>
              <w:rPr>
                <w:rFonts w:hint="eastAsia" w:ascii="宋体"/>
                <w:sz w:val="28"/>
              </w:rPr>
              <w:t>提交鉴定的</w:t>
            </w:r>
          </w:p>
          <w:p>
            <w:pPr>
              <w:spacing w:line="500" w:lineRule="exact"/>
              <w:jc w:val="center"/>
              <w:rPr>
                <w:rFonts w:ascii="宋体"/>
                <w:sz w:val="28"/>
              </w:rPr>
            </w:pPr>
            <w:r>
              <w:rPr>
                <w:rFonts w:hint="eastAsia" w:ascii="宋体"/>
                <w:sz w:val="28"/>
              </w:rPr>
              <w:t>成果</w:t>
            </w:r>
          </w:p>
        </w:tc>
        <w:tc>
          <w:tcPr>
            <w:tcW w:w="1928" w:type="dxa"/>
            <w:gridSpan w:val="2"/>
            <w:vAlign w:val="center"/>
          </w:tcPr>
          <w:p>
            <w:pPr>
              <w:spacing w:line="500" w:lineRule="exact"/>
              <w:jc w:val="center"/>
              <w:rPr>
                <w:rFonts w:ascii="宋体"/>
                <w:sz w:val="28"/>
              </w:rPr>
            </w:pPr>
            <w:r>
              <w:rPr>
                <w:rFonts w:hint="eastAsia" w:ascii="宋体"/>
                <w:sz w:val="28"/>
              </w:rPr>
              <w:t>成果主件</w:t>
            </w:r>
          </w:p>
        </w:tc>
        <w:tc>
          <w:tcPr>
            <w:tcW w:w="5954" w:type="dxa"/>
            <w:gridSpan w:val="6"/>
          </w:tcPr>
          <w:p>
            <w:pPr>
              <w:spacing w:line="500" w:lineRule="exact"/>
              <w:jc w:val="center"/>
              <w:rPr>
                <w:rFonts w:ascii="宋体"/>
                <w:sz w:val="28"/>
              </w:rPr>
            </w:pPr>
            <w:r>
              <w:rPr>
                <w:rFonts w:hint="eastAsia" w:ascii="宋体"/>
                <w:sz w:val="28"/>
              </w:rPr>
              <w:t>《“和美教育”理念下微课对提高内地西藏初中校学生理科素养的研究》研究报告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0" w:hRule="atLeast"/>
        </w:trPr>
        <w:tc>
          <w:tcPr>
            <w:tcW w:w="624" w:type="dxa"/>
            <w:vMerge w:val="continue"/>
          </w:tcPr>
          <w:p>
            <w:pPr>
              <w:spacing w:line="500" w:lineRule="exact"/>
              <w:rPr>
                <w:rFonts w:ascii="宋体"/>
                <w:sz w:val="28"/>
              </w:rPr>
            </w:pPr>
          </w:p>
        </w:tc>
        <w:tc>
          <w:tcPr>
            <w:tcW w:w="1928" w:type="dxa"/>
            <w:gridSpan w:val="2"/>
            <w:vAlign w:val="center"/>
          </w:tcPr>
          <w:p>
            <w:pPr>
              <w:spacing w:line="500" w:lineRule="exact"/>
              <w:jc w:val="center"/>
              <w:rPr>
                <w:rFonts w:ascii="宋体"/>
                <w:sz w:val="28"/>
              </w:rPr>
            </w:pPr>
            <w:r>
              <w:rPr>
                <w:rFonts w:hint="eastAsia" w:ascii="宋体"/>
                <w:sz w:val="28"/>
              </w:rPr>
              <w:t>成果附件</w:t>
            </w:r>
          </w:p>
        </w:tc>
        <w:tc>
          <w:tcPr>
            <w:tcW w:w="5954" w:type="dxa"/>
            <w:gridSpan w:val="6"/>
          </w:tcPr>
          <w:p>
            <w:pPr>
              <w:spacing w:line="500" w:lineRule="exact"/>
              <w:jc w:val="left"/>
              <w:rPr>
                <w:rFonts w:ascii="宋体"/>
                <w:sz w:val="28"/>
              </w:rPr>
            </w:pPr>
            <w:r>
              <w:rPr>
                <w:rFonts w:hint="eastAsia" w:ascii="宋体"/>
                <w:sz w:val="28"/>
              </w:rPr>
              <w:t>1、论文《微视频应用于内地西藏民族学校物理教学初探》发表在《教育研究与评论》2019年5月20日/2019年第3期，作者：商汉勇</w:t>
            </w:r>
          </w:p>
          <w:p>
            <w:pPr>
              <w:spacing w:line="500" w:lineRule="exact"/>
              <w:jc w:val="left"/>
              <w:rPr>
                <w:rFonts w:ascii="宋体"/>
                <w:sz w:val="28"/>
              </w:rPr>
            </w:pPr>
            <w:r>
              <w:rPr>
                <w:rFonts w:hint="eastAsia" w:ascii="宋体"/>
                <w:sz w:val="28"/>
              </w:rPr>
              <w:t>2、论文《微课在西藏班（校）初中信息技术翻课堂教学中的应用》发表在《中国现代教育装备》2018年11月/总第302期，作者：邢长敏</w:t>
            </w:r>
          </w:p>
          <w:p>
            <w:pPr>
              <w:spacing w:line="500" w:lineRule="exact"/>
              <w:jc w:val="left"/>
              <w:rPr>
                <w:rFonts w:ascii="宋体"/>
                <w:sz w:val="28"/>
              </w:rPr>
            </w:pPr>
            <w:r>
              <w:rPr>
                <w:rFonts w:hint="eastAsia" w:ascii="宋体"/>
                <w:sz w:val="28"/>
              </w:rPr>
              <w:t>3、论文《“微课”在西藏班初中信息技术教学中的应用》发表在《课程与教学》2018年2月/2018年第5辑，作者：邢长敏</w:t>
            </w:r>
          </w:p>
          <w:p>
            <w:pPr>
              <w:spacing w:line="500" w:lineRule="exact"/>
              <w:jc w:val="left"/>
              <w:rPr>
                <w:rFonts w:ascii="宋体"/>
                <w:sz w:val="28"/>
              </w:rPr>
            </w:pPr>
            <w:r>
              <w:rPr>
                <w:rFonts w:hint="eastAsia" w:ascii="宋体"/>
                <w:sz w:val="28"/>
              </w:rPr>
              <w:t>4、论文《初中生基于微视频的数学自主学习策略研究》发表在《试题研究》2019年4月25日/2019年第12期，作者：吴文斌</w:t>
            </w:r>
          </w:p>
          <w:p>
            <w:pPr>
              <w:spacing w:line="500" w:lineRule="exact"/>
              <w:jc w:val="left"/>
              <w:rPr>
                <w:rFonts w:ascii="宋体"/>
                <w:sz w:val="28"/>
              </w:rPr>
            </w:pPr>
            <w:r>
              <w:rPr>
                <w:rFonts w:ascii="宋体"/>
                <w:sz w:val="28"/>
              </w:rPr>
              <w:t>5、</w:t>
            </w:r>
            <w:r>
              <w:rPr>
                <w:rFonts w:hint="eastAsia" w:ascii="宋体"/>
                <w:sz w:val="28"/>
              </w:rPr>
              <w:t>论文《“微课”在西藏班初中化学教学中的应用价值》发表在《课程与教学》2019年3月/2019年第5辑，作者：戴西红</w:t>
            </w:r>
          </w:p>
          <w:p>
            <w:pPr>
              <w:spacing w:line="500" w:lineRule="exact"/>
              <w:jc w:val="left"/>
              <w:rPr>
                <w:rFonts w:ascii="宋体"/>
                <w:sz w:val="28"/>
              </w:rPr>
            </w:pPr>
            <w:r>
              <w:rPr>
                <w:rFonts w:ascii="宋体"/>
                <w:sz w:val="28"/>
              </w:rPr>
              <w:t>6、</w:t>
            </w:r>
            <w:r>
              <w:rPr>
                <w:rFonts w:hint="eastAsia" w:ascii="宋体"/>
                <w:sz w:val="28"/>
              </w:rPr>
              <w:t>论文《“二力平衡”教学设计与反思》发表在《物理之友》2018年11月/2018年第11期作者：程在起</w:t>
            </w:r>
          </w:p>
          <w:p>
            <w:pPr>
              <w:spacing w:line="500" w:lineRule="exact"/>
              <w:jc w:val="left"/>
              <w:rPr>
                <w:rFonts w:ascii="宋体"/>
                <w:sz w:val="28"/>
              </w:rPr>
            </w:pPr>
            <w:r>
              <w:rPr>
                <w:rFonts w:hint="eastAsia" w:ascii="宋体"/>
                <w:sz w:val="28"/>
              </w:rPr>
              <w:t>7、论文《微视频在初中物理教学中的应用--以机械效率为例》，作者：程在起</w:t>
            </w:r>
          </w:p>
          <w:p>
            <w:pPr>
              <w:spacing w:line="500" w:lineRule="exact"/>
              <w:jc w:val="left"/>
              <w:rPr>
                <w:rFonts w:ascii="宋体"/>
                <w:sz w:val="28"/>
              </w:rPr>
            </w:pPr>
            <w:r>
              <w:rPr>
                <w:rFonts w:hint="eastAsia" w:ascii="宋体"/>
                <w:sz w:val="28"/>
              </w:rPr>
              <w:t>8、论文《浅谈微课对藏族学生数学理解的促进作用》，作者：王成洋</w:t>
            </w:r>
          </w:p>
          <w:p>
            <w:pPr>
              <w:spacing w:line="500" w:lineRule="exact"/>
              <w:jc w:val="center"/>
              <w:rPr>
                <w:rFonts w:asci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52" w:type="dxa"/>
            <w:gridSpan w:val="3"/>
          </w:tcPr>
          <w:p>
            <w:pPr>
              <w:spacing w:line="500" w:lineRule="exact"/>
              <w:rPr>
                <w:rFonts w:ascii="宋体"/>
                <w:sz w:val="28"/>
              </w:rPr>
            </w:pPr>
            <w:r>
              <w:rPr>
                <w:rFonts w:hint="eastAsia" w:ascii="宋体"/>
                <w:sz w:val="28"/>
              </w:rPr>
              <w:t>申请鉴定方式</w:t>
            </w:r>
          </w:p>
        </w:tc>
        <w:tc>
          <w:tcPr>
            <w:tcW w:w="5954" w:type="dxa"/>
            <w:gridSpan w:val="6"/>
          </w:tcPr>
          <w:p>
            <w:pPr>
              <w:spacing w:line="500" w:lineRule="exact"/>
              <w:rPr>
                <w:rFonts w:ascii="宋体"/>
                <w:sz w:val="28"/>
              </w:rPr>
            </w:pPr>
            <w:r>
              <w:rPr>
                <w:rFonts w:hint="eastAsia" w:ascii="宋体"/>
                <w:sz w:val="28"/>
              </w:rPr>
              <w:t>会议鉴定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52" w:type="dxa"/>
            <w:gridSpan w:val="3"/>
          </w:tcPr>
          <w:p>
            <w:pPr>
              <w:spacing w:line="500" w:lineRule="exact"/>
              <w:rPr>
                <w:rFonts w:ascii="宋体"/>
                <w:sz w:val="28"/>
              </w:rPr>
            </w:pPr>
            <w:r>
              <w:rPr>
                <w:rFonts w:hint="eastAsia" w:ascii="宋体"/>
                <w:sz w:val="28"/>
              </w:rPr>
              <w:t>原计划成果形式</w:t>
            </w:r>
          </w:p>
        </w:tc>
        <w:tc>
          <w:tcPr>
            <w:tcW w:w="5954" w:type="dxa"/>
            <w:gridSpan w:val="6"/>
          </w:tcPr>
          <w:p>
            <w:pPr>
              <w:spacing w:line="500" w:lineRule="exact"/>
              <w:rPr>
                <w:rFonts w:ascii="宋体"/>
                <w:sz w:val="28"/>
              </w:rPr>
            </w:pPr>
            <w:r>
              <w:rPr>
                <w:rFonts w:hint="eastAsia" w:ascii="宋体"/>
                <w:sz w:val="28"/>
              </w:rPr>
              <w:t>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2552" w:type="dxa"/>
            <w:gridSpan w:val="3"/>
          </w:tcPr>
          <w:p>
            <w:pPr>
              <w:spacing w:line="500" w:lineRule="exact"/>
              <w:rPr>
                <w:rFonts w:ascii="宋体"/>
                <w:sz w:val="28"/>
              </w:rPr>
            </w:pPr>
            <w:r>
              <w:rPr>
                <w:rFonts w:hint="eastAsia" w:ascii="宋体"/>
                <w:sz w:val="28"/>
              </w:rPr>
              <w:t>原计划完成时间</w:t>
            </w:r>
          </w:p>
        </w:tc>
        <w:tc>
          <w:tcPr>
            <w:tcW w:w="5954" w:type="dxa"/>
            <w:gridSpan w:val="6"/>
          </w:tcPr>
          <w:p>
            <w:pPr>
              <w:spacing w:line="500" w:lineRule="exact"/>
              <w:rPr>
                <w:rFonts w:ascii="宋体"/>
                <w:sz w:val="28"/>
              </w:rPr>
            </w:pPr>
            <w:r>
              <w:rPr>
                <w:rFonts w:hint="eastAsia" w:ascii="宋体"/>
                <w:sz w:val="28"/>
              </w:rPr>
              <w:t xml:space="preserve">   2019年 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52" w:type="dxa"/>
            <w:gridSpan w:val="3"/>
          </w:tcPr>
          <w:p>
            <w:pPr>
              <w:spacing w:line="500" w:lineRule="exact"/>
              <w:rPr>
                <w:rFonts w:ascii="宋体"/>
                <w:sz w:val="28"/>
              </w:rPr>
            </w:pPr>
            <w:r>
              <w:rPr>
                <w:rFonts w:hint="eastAsia" w:ascii="宋体"/>
                <w:sz w:val="28"/>
              </w:rPr>
              <w:t>通讯地址</w:t>
            </w:r>
          </w:p>
        </w:tc>
        <w:tc>
          <w:tcPr>
            <w:tcW w:w="3827" w:type="dxa"/>
            <w:gridSpan w:val="4"/>
          </w:tcPr>
          <w:p>
            <w:pPr>
              <w:spacing w:line="500" w:lineRule="exact"/>
              <w:jc w:val="center"/>
              <w:rPr>
                <w:rFonts w:ascii="宋体"/>
                <w:sz w:val="28"/>
              </w:rPr>
            </w:pPr>
            <w:r>
              <w:rPr>
                <w:rFonts w:hint="eastAsia" w:ascii="宋体"/>
                <w:sz w:val="28"/>
              </w:rPr>
              <w:t>常州市清潭西路156号</w:t>
            </w:r>
          </w:p>
        </w:tc>
        <w:tc>
          <w:tcPr>
            <w:tcW w:w="993" w:type="dxa"/>
          </w:tcPr>
          <w:p>
            <w:pPr>
              <w:spacing w:line="500" w:lineRule="exact"/>
              <w:jc w:val="center"/>
              <w:rPr>
                <w:rFonts w:ascii="宋体"/>
                <w:sz w:val="28"/>
              </w:rPr>
            </w:pPr>
            <w:r>
              <w:rPr>
                <w:rFonts w:hint="eastAsia" w:ascii="宋体"/>
                <w:sz w:val="28"/>
              </w:rPr>
              <w:t>邮编</w:t>
            </w:r>
          </w:p>
        </w:tc>
        <w:tc>
          <w:tcPr>
            <w:tcW w:w="1134" w:type="dxa"/>
          </w:tcPr>
          <w:p>
            <w:pPr>
              <w:spacing w:line="500" w:lineRule="exact"/>
              <w:jc w:val="center"/>
              <w:rPr>
                <w:rFonts w:ascii="宋体"/>
                <w:sz w:val="28"/>
              </w:rPr>
            </w:pPr>
            <w:r>
              <w:rPr>
                <w:rFonts w:hint="eastAsia" w:ascii="宋体"/>
                <w:sz w:val="28"/>
              </w:rPr>
              <w:t>213016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52" w:type="dxa"/>
            <w:gridSpan w:val="3"/>
          </w:tcPr>
          <w:p>
            <w:pPr>
              <w:spacing w:line="500" w:lineRule="exact"/>
              <w:rPr>
                <w:rFonts w:ascii="宋体"/>
                <w:sz w:val="28"/>
              </w:rPr>
            </w:pPr>
            <w:r>
              <w:rPr>
                <w:rFonts w:hint="eastAsia" w:ascii="宋体"/>
                <w:sz w:val="28"/>
              </w:rPr>
              <w:t>联系电话</w:t>
            </w:r>
          </w:p>
        </w:tc>
        <w:tc>
          <w:tcPr>
            <w:tcW w:w="1984" w:type="dxa"/>
            <w:gridSpan w:val="2"/>
          </w:tcPr>
          <w:p>
            <w:pPr>
              <w:spacing w:line="500" w:lineRule="exact"/>
              <w:jc w:val="center"/>
              <w:rPr>
                <w:rFonts w:ascii="宋体"/>
                <w:sz w:val="28"/>
              </w:rPr>
            </w:pPr>
            <w:r>
              <w:rPr>
                <w:rFonts w:hint="eastAsia" w:ascii="宋体"/>
                <w:sz w:val="28"/>
              </w:rPr>
              <w:t>15961484124</w:t>
            </w:r>
          </w:p>
        </w:tc>
        <w:tc>
          <w:tcPr>
            <w:tcW w:w="1843" w:type="dxa"/>
            <w:gridSpan w:val="2"/>
          </w:tcPr>
          <w:p>
            <w:pPr>
              <w:spacing w:line="500" w:lineRule="exact"/>
              <w:jc w:val="center"/>
              <w:rPr>
                <w:rFonts w:ascii="宋体"/>
                <w:sz w:val="28"/>
              </w:rPr>
            </w:pPr>
            <w:r>
              <w:rPr>
                <w:rFonts w:hint="eastAsia" w:ascii="宋体"/>
                <w:sz w:val="28"/>
              </w:rPr>
              <w:t>电子信箱</w:t>
            </w:r>
          </w:p>
        </w:tc>
        <w:tc>
          <w:tcPr>
            <w:tcW w:w="2127" w:type="dxa"/>
            <w:gridSpan w:val="2"/>
          </w:tcPr>
          <w:p>
            <w:pPr>
              <w:spacing w:line="500" w:lineRule="exact"/>
              <w:jc w:val="center"/>
              <w:rPr>
                <w:rFonts w:ascii="宋体"/>
                <w:sz w:val="28"/>
              </w:rPr>
            </w:pPr>
            <w:r>
              <w:rPr>
                <w:rFonts w:hint="eastAsia" w:ascii="宋体"/>
                <w:sz w:val="28"/>
              </w:rPr>
              <w:t>229601076@qq.com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506" w:type="dxa"/>
            <w:gridSpan w:val="9"/>
            <w:tcBorders>
              <w:top w:val="nil"/>
            </w:tcBorders>
          </w:tcPr>
          <w:p>
            <w:pPr>
              <w:tabs>
                <w:tab w:val="left" w:pos="5092"/>
              </w:tabs>
              <w:spacing w:line="500" w:lineRule="exact"/>
              <w:ind w:left="-11"/>
              <w:jc w:val="center"/>
              <w:rPr>
                <w:rFonts w:ascii="宋体"/>
                <w:sz w:val="28"/>
              </w:rPr>
            </w:pPr>
            <w:r>
              <w:rPr>
                <w:rFonts w:hint="eastAsia" w:ascii="宋体"/>
                <w:sz w:val="28"/>
              </w:rPr>
              <w:t>课题组主要成员名单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gridSpan w:val="2"/>
          </w:tcPr>
          <w:p>
            <w:pPr>
              <w:spacing w:line="500" w:lineRule="exact"/>
              <w:rPr>
                <w:rFonts w:ascii="宋体"/>
                <w:sz w:val="28"/>
              </w:rPr>
            </w:pPr>
            <w:r>
              <w:rPr>
                <w:rFonts w:hint="eastAsia" w:ascii="宋体"/>
                <w:sz w:val="28"/>
              </w:rPr>
              <w:t>姓 名</w:t>
            </w:r>
          </w:p>
        </w:tc>
        <w:tc>
          <w:tcPr>
            <w:tcW w:w="2551" w:type="dxa"/>
            <w:gridSpan w:val="2"/>
          </w:tcPr>
          <w:p>
            <w:pPr>
              <w:spacing w:line="500" w:lineRule="exact"/>
              <w:jc w:val="center"/>
              <w:rPr>
                <w:rFonts w:ascii="宋体"/>
                <w:sz w:val="28"/>
              </w:rPr>
            </w:pPr>
            <w:r>
              <w:rPr>
                <w:rFonts w:hint="eastAsia" w:ascii="宋体"/>
                <w:sz w:val="28"/>
              </w:rPr>
              <w:t>工作单位</w:t>
            </w:r>
          </w:p>
        </w:tc>
        <w:tc>
          <w:tcPr>
            <w:tcW w:w="2268" w:type="dxa"/>
            <w:gridSpan w:val="2"/>
          </w:tcPr>
          <w:p>
            <w:pPr>
              <w:spacing w:line="500" w:lineRule="exact"/>
              <w:rPr>
                <w:rFonts w:ascii="宋体"/>
                <w:sz w:val="28"/>
              </w:rPr>
            </w:pPr>
            <w:r>
              <w:rPr>
                <w:rFonts w:hint="eastAsia" w:ascii="宋体"/>
                <w:sz w:val="28"/>
              </w:rPr>
              <w:t>职务和职称</w:t>
            </w:r>
          </w:p>
        </w:tc>
        <w:tc>
          <w:tcPr>
            <w:tcW w:w="2552" w:type="dxa"/>
            <w:gridSpan w:val="3"/>
          </w:tcPr>
          <w:p>
            <w:pPr>
              <w:spacing w:line="500" w:lineRule="exact"/>
              <w:jc w:val="center"/>
              <w:rPr>
                <w:rFonts w:ascii="宋体"/>
                <w:sz w:val="28"/>
              </w:rPr>
            </w:pPr>
            <w:r>
              <w:rPr>
                <w:rFonts w:hint="eastAsia" w:ascii="宋体"/>
                <w:sz w:val="28"/>
              </w:rPr>
              <w:t>承担任务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trPr>
        <w:tc>
          <w:tcPr>
            <w:tcW w:w="1135" w:type="dxa"/>
            <w:gridSpan w:val="2"/>
            <w:vAlign w:val="center"/>
          </w:tcPr>
          <w:p>
            <w:pPr>
              <w:spacing w:line="500" w:lineRule="exact"/>
              <w:jc w:val="center"/>
              <w:rPr>
                <w:rFonts w:ascii="宋体"/>
                <w:sz w:val="28"/>
              </w:rPr>
            </w:pPr>
            <w:r>
              <w:rPr>
                <w:rFonts w:hint="eastAsia" w:ascii="宋体"/>
                <w:sz w:val="28"/>
              </w:rPr>
              <w:t>朱文斌</w:t>
            </w:r>
          </w:p>
        </w:tc>
        <w:tc>
          <w:tcPr>
            <w:tcW w:w="2551" w:type="dxa"/>
            <w:gridSpan w:val="2"/>
            <w:vAlign w:val="center"/>
          </w:tcPr>
          <w:p>
            <w:pPr>
              <w:spacing w:line="500" w:lineRule="exact"/>
              <w:jc w:val="center"/>
              <w:rPr>
                <w:rFonts w:ascii="宋体"/>
                <w:sz w:val="28"/>
              </w:rPr>
            </w:pPr>
            <w:r>
              <w:rPr>
                <w:rFonts w:hint="eastAsia" w:ascii="宋体"/>
                <w:sz w:val="28"/>
              </w:rPr>
              <w:t>常州西藏民族中学</w:t>
            </w:r>
          </w:p>
        </w:tc>
        <w:tc>
          <w:tcPr>
            <w:tcW w:w="2268" w:type="dxa"/>
            <w:gridSpan w:val="2"/>
            <w:vAlign w:val="center"/>
          </w:tcPr>
          <w:p>
            <w:pPr>
              <w:spacing w:line="500" w:lineRule="exact"/>
              <w:jc w:val="center"/>
              <w:rPr>
                <w:rFonts w:ascii="宋体"/>
                <w:sz w:val="28"/>
              </w:rPr>
            </w:pPr>
            <w:r>
              <w:rPr>
                <w:rFonts w:hint="eastAsia" w:ascii="宋体"/>
                <w:sz w:val="28"/>
              </w:rPr>
              <w:t>中小学教师一级</w:t>
            </w:r>
          </w:p>
        </w:tc>
        <w:tc>
          <w:tcPr>
            <w:tcW w:w="2552" w:type="dxa"/>
            <w:gridSpan w:val="3"/>
          </w:tcPr>
          <w:p>
            <w:pPr>
              <w:spacing w:line="500" w:lineRule="exact"/>
              <w:rPr>
                <w:rFonts w:ascii="宋体"/>
                <w:sz w:val="28"/>
              </w:rPr>
            </w:pPr>
            <w:r>
              <w:rPr>
                <w:rFonts w:hint="eastAsia" w:ascii="宋体"/>
                <w:sz w:val="28"/>
              </w:rPr>
              <w:t>理科素养现状分析</w:t>
            </w:r>
          </w:p>
          <w:p>
            <w:pPr>
              <w:spacing w:line="500" w:lineRule="exact"/>
              <w:rPr>
                <w:rFonts w:ascii="宋体"/>
                <w:sz w:val="28"/>
              </w:rPr>
            </w:pPr>
            <w:r>
              <w:rPr>
                <w:rFonts w:hint="eastAsia" w:ascii="宋体"/>
                <w:sz w:val="28"/>
              </w:rPr>
              <w:t>提高理科素养研究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 w:hRule="atLeast"/>
        </w:trPr>
        <w:tc>
          <w:tcPr>
            <w:tcW w:w="1135" w:type="dxa"/>
            <w:gridSpan w:val="2"/>
            <w:vAlign w:val="center"/>
          </w:tcPr>
          <w:p>
            <w:pPr>
              <w:spacing w:line="500" w:lineRule="exact"/>
              <w:jc w:val="center"/>
              <w:rPr>
                <w:rFonts w:ascii="宋体"/>
                <w:sz w:val="28"/>
              </w:rPr>
            </w:pPr>
            <w:r>
              <w:rPr>
                <w:rFonts w:hint="eastAsia" w:ascii="宋体"/>
                <w:sz w:val="28"/>
              </w:rPr>
              <w:t>虞俊</w:t>
            </w:r>
          </w:p>
        </w:tc>
        <w:tc>
          <w:tcPr>
            <w:tcW w:w="2551" w:type="dxa"/>
            <w:gridSpan w:val="2"/>
            <w:vAlign w:val="center"/>
          </w:tcPr>
          <w:p>
            <w:pPr>
              <w:spacing w:line="500" w:lineRule="exact"/>
              <w:jc w:val="center"/>
              <w:rPr>
                <w:rFonts w:ascii="宋体"/>
                <w:sz w:val="28"/>
              </w:rPr>
            </w:pPr>
            <w:r>
              <w:rPr>
                <w:rFonts w:hint="eastAsia" w:ascii="宋体"/>
                <w:sz w:val="28"/>
              </w:rPr>
              <w:t>常州西藏民族中学</w:t>
            </w:r>
          </w:p>
        </w:tc>
        <w:tc>
          <w:tcPr>
            <w:tcW w:w="2268" w:type="dxa"/>
            <w:gridSpan w:val="2"/>
            <w:vAlign w:val="center"/>
          </w:tcPr>
          <w:p>
            <w:pPr>
              <w:spacing w:line="500" w:lineRule="exact"/>
              <w:jc w:val="center"/>
              <w:rPr>
                <w:rFonts w:ascii="宋体"/>
                <w:sz w:val="28"/>
              </w:rPr>
            </w:pPr>
            <w:r>
              <w:rPr>
                <w:rFonts w:hint="eastAsia" w:ascii="宋体"/>
                <w:sz w:val="28"/>
              </w:rPr>
              <w:t>中小学教师一级</w:t>
            </w:r>
          </w:p>
        </w:tc>
        <w:tc>
          <w:tcPr>
            <w:tcW w:w="2552" w:type="dxa"/>
            <w:gridSpan w:val="3"/>
          </w:tcPr>
          <w:p>
            <w:pPr>
              <w:spacing w:line="500" w:lineRule="exact"/>
              <w:rPr>
                <w:rFonts w:ascii="宋体"/>
                <w:sz w:val="28"/>
              </w:rPr>
            </w:pPr>
            <w:r>
              <w:rPr>
                <w:rFonts w:hint="eastAsia" w:ascii="宋体"/>
                <w:sz w:val="28"/>
              </w:rPr>
              <w:t>理科素养现状分析</w:t>
            </w:r>
          </w:p>
          <w:p>
            <w:pPr>
              <w:spacing w:line="500" w:lineRule="exact"/>
              <w:rPr>
                <w:rFonts w:ascii="宋体"/>
                <w:sz w:val="28"/>
              </w:rPr>
            </w:pPr>
            <w:r>
              <w:rPr>
                <w:rFonts w:hint="eastAsia" w:ascii="宋体"/>
                <w:sz w:val="28"/>
              </w:rPr>
              <w:t>提高理科素养研究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1135" w:type="dxa"/>
            <w:gridSpan w:val="2"/>
            <w:vAlign w:val="center"/>
          </w:tcPr>
          <w:p>
            <w:pPr>
              <w:spacing w:line="500" w:lineRule="exact"/>
              <w:jc w:val="center"/>
              <w:rPr>
                <w:rFonts w:ascii="宋体"/>
                <w:sz w:val="28"/>
              </w:rPr>
            </w:pPr>
            <w:r>
              <w:rPr>
                <w:rFonts w:hint="eastAsia" w:ascii="宋体"/>
                <w:sz w:val="28"/>
              </w:rPr>
              <w:t>程在起</w:t>
            </w:r>
          </w:p>
        </w:tc>
        <w:tc>
          <w:tcPr>
            <w:tcW w:w="2551" w:type="dxa"/>
            <w:gridSpan w:val="2"/>
            <w:vAlign w:val="center"/>
          </w:tcPr>
          <w:p>
            <w:pPr>
              <w:spacing w:line="500" w:lineRule="exact"/>
              <w:jc w:val="center"/>
              <w:rPr>
                <w:rFonts w:ascii="宋体"/>
                <w:sz w:val="28"/>
              </w:rPr>
            </w:pPr>
            <w:r>
              <w:rPr>
                <w:rFonts w:hint="eastAsia" w:ascii="宋体"/>
                <w:sz w:val="28"/>
              </w:rPr>
              <w:t>常州西藏民族中学</w:t>
            </w:r>
          </w:p>
        </w:tc>
        <w:tc>
          <w:tcPr>
            <w:tcW w:w="2268" w:type="dxa"/>
            <w:gridSpan w:val="2"/>
            <w:vAlign w:val="center"/>
          </w:tcPr>
          <w:p>
            <w:pPr>
              <w:spacing w:line="500" w:lineRule="exact"/>
              <w:jc w:val="center"/>
              <w:rPr>
                <w:rFonts w:ascii="宋体"/>
                <w:sz w:val="28"/>
              </w:rPr>
            </w:pPr>
            <w:r>
              <w:rPr>
                <w:rFonts w:hint="eastAsia" w:ascii="宋体"/>
                <w:sz w:val="28"/>
              </w:rPr>
              <w:t>中小学教师一级</w:t>
            </w:r>
          </w:p>
        </w:tc>
        <w:tc>
          <w:tcPr>
            <w:tcW w:w="2552" w:type="dxa"/>
            <w:gridSpan w:val="3"/>
          </w:tcPr>
          <w:p>
            <w:pPr>
              <w:spacing w:line="500" w:lineRule="exact"/>
              <w:rPr>
                <w:rFonts w:ascii="宋体"/>
                <w:sz w:val="28"/>
              </w:rPr>
            </w:pPr>
            <w:r>
              <w:rPr>
                <w:rFonts w:hint="eastAsia" w:ascii="宋体"/>
                <w:sz w:val="28"/>
              </w:rPr>
              <w:t>理科素养现状分析</w:t>
            </w:r>
          </w:p>
          <w:p>
            <w:pPr>
              <w:spacing w:line="500" w:lineRule="exact"/>
              <w:rPr>
                <w:rFonts w:ascii="宋体"/>
                <w:sz w:val="28"/>
              </w:rPr>
            </w:pPr>
            <w:r>
              <w:rPr>
                <w:rFonts w:hint="eastAsia" w:ascii="宋体"/>
                <w:sz w:val="28"/>
              </w:rPr>
              <w:t>提高理科素养研究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1135" w:type="dxa"/>
            <w:gridSpan w:val="2"/>
            <w:vAlign w:val="center"/>
          </w:tcPr>
          <w:p>
            <w:pPr>
              <w:spacing w:line="500" w:lineRule="exact"/>
              <w:jc w:val="center"/>
              <w:rPr>
                <w:rFonts w:ascii="宋体"/>
                <w:sz w:val="28"/>
              </w:rPr>
            </w:pPr>
            <w:r>
              <w:rPr>
                <w:rFonts w:hint="eastAsia" w:ascii="宋体"/>
                <w:sz w:val="28"/>
              </w:rPr>
              <w:t>王成洋</w:t>
            </w:r>
          </w:p>
        </w:tc>
        <w:tc>
          <w:tcPr>
            <w:tcW w:w="2551" w:type="dxa"/>
            <w:gridSpan w:val="2"/>
            <w:vAlign w:val="center"/>
          </w:tcPr>
          <w:p>
            <w:pPr>
              <w:spacing w:line="500" w:lineRule="exact"/>
              <w:jc w:val="center"/>
              <w:rPr>
                <w:rFonts w:ascii="宋体"/>
                <w:sz w:val="28"/>
              </w:rPr>
            </w:pPr>
            <w:r>
              <w:rPr>
                <w:rFonts w:hint="eastAsia" w:ascii="宋体"/>
                <w:sz w:val="28"/>
              </w:rPr>
              <w:t>常州西藏民族中学</w:t>
            </w:r>
          </w:p>
        </w:tc>
        <w:tc>
          <w:tcPr>
            <w:tcW w:w="2268" w:type="dxa"/>
            <w:gridSpan w:val="2"/>
            <w:vAlign w:val="center"/>
          </w:tcPr>
          <w:p>
            <w:pPr>
              <w:spacing w:line="500" w:lineRule="exact"/>
              <w:jc w:val="center"/>
              <w:rPr>
                <w:rFonts w:ascii="宋体"/>
                <w:sz w:val="28"/>
              </w:rPr>
            </w:pPr>
            <w:r>
              <w:rPr>
                <w:rFonts w:hint="eastAsia" w:ascii="宋体"/>
                <w:sz w:val="28"/>
              </w:rPr>
              <w:t>中小学教师一级</w:t>
            </w:r>
          </w:p>
        </w:tc>
        <w:tc>
          <w:tcPr>
            <w:tcW w:w="2552" w:type="dxa"/>
            <w:gridSpan w:val="3"/>
          </w:tcPr>
          <w:p>
            <w:pPr>
              <w:spacing w:line="500" w:lineRule="exact"/>
              <w:rPr>
                <w:rFonts w:ascii="宋体"/>
                <w:sz w:val="28"/>
              </w:rPr>
            </w:pPr>
            <w:r>
              <w:rPr>
                <w:rFonts w:hint="eastAsia" w:ascii="宋体"/>
                <w:sz w:val="28"/>
              </w:rPr>
              <w:t>理科素养现状分析</w:t>
            </w:r>
          </w:p>
          <w:p>
            <w:pPr>
              <w:spacing w:line="500" w:lineRule="exact"/>
              <w:rPr>
                <w:rFonts w:ascii="宋体"/>
                <w:sz w:val="28"/>
              </w:rPr>
            </w:pPr>
            <w:r>
              <w:rPr>
                <w:rFonts w:hint="eastAsia" w:ascii="宋体"/>
                <w:sz w:val="28"/>
              </w:rPr>
              <w:t>提高理科素养研究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trPr>
        <w:tc>
          <w:tcPr>
            <w:tcW w:w="1135" w:type="dxa"/>
            <w:gridSpan w:val="2"/>
            <w:vAlign w:val="center"/>
          </w:tcPr>
          <w:p>
            <w:pPr>
              <w:spacing w:line="500" w:lineRule="exact"/>
              <w:jc w:val="center"/>
              <w:rPr>
                <w:rFonts w:ascii="宋体"/>
                <w:sz w:val="28"/>
              </w:rPr>
            </w:pPr>
            <w:r>
              <w:rPr>
                <w:rFonts w:hint="eastAsia" w:ascii="宋体"/>
                <w:sz w:val="28"/>
              </w:rPr>
              <w:t>邢长敏</w:t>
            </w:r>
          </w:p>
        </w:tc>
        <w:tc>
          <w:tcPr>
            <w:tcW w:w="2551" w:type="dxa"/>
            <w:gridSpan w:val="2"/>
            <w:vAlign w:val="center"/>
          </w:tcPr>
          <w:p>
            <w:pPr>
              <w:spacing w:line="500" w:lineRule="exact"/>
              <w:jc w:val="center"/>
              <w:rPr>
                <w:rFonts w:ascii="宋体"/>
                <w:sz w:val="28"/>
              </w:rPr>
            </w:pPr>
            <w:r>
              <w:rPr>
                <w:rFonts w:hint="eastAsia" w:ascii="宋体"/>
                <w:sz w:val="28"/>
              </w:rPr>
              <w:t>常州西藏民族中学</w:t>
            </w:r>
          </w:p>
        </w:tc>
        <w:tc>
          <w:tcPr>
            <w:tcW w:w="2268" w:type="dxa"/>
            <w:gridSpan w:val="2"/>
            <w:vAlign w:val="center"/>
          </w:tcPr>
          <w:p>
            <w:pPr>
              <w:spacing w:line="500" w:lineRule="exact"/>
              <w:jc w:val="center"/>
              <w:rPr>
                <w:rFonts w:ascii="宋体"/>
                <w:sz w:val="28"/>
              </w:rPr>
            </w:pPr>
            <w:r>
              <w:rPr>
                <w:rFonts w:hint="eastAsia" w:ascii="宋体"/>
                <w:sz w:val="28"/>
              </w:rPr>
              <w:t>中小学教师一级</w:t>
            </w:r>
          </w:p>
        </w:tc>
        <w:tc>
          <w:tcPr>
            <w:tcW w:w="2552" w:type="dxa"/>
            <w:gridSpan w:val="3"/>
          </w:tcPr>
          <w:p>
            <w:pPr>
              <w:spacing w:line="500" w:lineRule="exact"/>
              <w:rPr>
                <w:rFonts w:ascii="宋体"/>
                <w:sz w:val="28"/>
              </w:rPr>
            </w:pPr>
            <w:r>
              <w:rPr>
                <w:rFonts w:hint="eastAsia" w:ascii="宋体"/>
                <w:sz w:val="28"/>
              </w:rPr>
              <w:t>理科素养现状分析</w:t>
            </w:r>
          </w:p>
          <w:p>
            <w:pPr>
              <w:spacing w:line="500" w:lineRule="exact"/>
              <w:rPr>
                <w:rFonts w:ascii="宋体"/>
                <w:sz w:val="28"/>
              </w:rPr>
            </w:pPr>
            <w:r>
              <w:rPr>
                <w:rFonts w:hint="eastAsia" w:ascii="宋体"/>
                <w:sz w:val="28"/>
              </w:rPr>
              <w:t>提高理科素养研究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1135" w:type="dxa"/>
            <w:gridSpan w:val="2"/>
            <w:vAlign w:val="center"/>
          </w:tcPr>
          <w:p>
            <w:pPr>
              <w:spacing w:line="500" w:lineRule="exact"/>
              <w:jc w:val="center"/>
              <w:rPr>
                <w:rFonts w:ascii="宋体"/>
                <w:sz w:val="28"/>
              </w:rPr>
            </w:pPr>
            <w:r>
              <w:rPr>
                <w:rFonts w:hint="eastAsia" w:ascii="宋体"/>
                <w:sz w:val="28"/>
              </w:rPr>
              <w:t>戴西红</w:t>
            </w:r>
          </w:p>
        </w:tc>
        <w:tc>
          <w:tcPr>
            <w:tcW w:w="2551" w:type="dxa"/>
            <w:gridSpan w:val="2"/>
            <w:vAlign w:val="center"/>
          </w:tcPr>
          <w:p>
            <w:pPr>
              <w:spacing w:line="500" w:lineRule="exact"/>
              <w:jc w:val="center"/>
              <w:rPr>
                <w:rFonts w:ascii="宋体"/>
                <w:sz w:val="28"/>
              </w:rPr>
            </w:pPr>
            <w:r>
              <w:rPr>
                <w:rFonts w:hint="eastAsia" w:ascii="宋体"/>
                <w:sz w:val="28"/>
              </w:rPr>
              <w:t>常州西藏民族中学</w:t>
            </w:r>
          </w:p>
        </w:tc>
        <w:tc>
          <w:tcPr>
            <w:tcW w:w="2268" w:type="dxa"/>
            <w:gridSpan w:val="2"/>
            <w:vAlign w:val="center"/>
          </w:tcPr>
          <w:p>
            <w:pPr>
              <w:spacing w:line="500" w:lineRule="exact"/>
              <w:jc w:val="center"/>
              <w:rPr>
                <w:rFonts w:ascii="宋体"/>
                <w:sz w:val="28"/>
              </w:rPr>
            </w:pPr>
            <w:r>
              <w:rPr>
                <w:rFonts w:hint="eastAsia" w:ascii="宋体"/>
                <w:sz w:val="28"/>
              </w:rPr>
              <w:t>中小学教师一级</w:t>
            </w:r>
          </w:p>
        </w:tc>
        <w:tc>
          <w:tcPr>
            <w:tcW w:w="2552" w:type="dxa"/>
            <w:gridSpan w:val="3"/>
          </w:tcPr>
          <w:p>
            <w:pPr>
              <w:spacing w:line="500" w:lineRule="exact"/>
              <w:rPr>
                <w:rFonts w:ascii="宋体"/>
                <w:sz w:val="28"/>
              </w:rPr>
            </w:pPr>
            <w:r>
              <w:rPr>
                <w:rFonts w:hint="eastAsia" w:ascii="宋体"/>
                <w:sz w:val="28"/>
              </w:rPr>
              <w:t>理科素养现状分析</w:t>
            </w:r>
          </w:p>
          <w:p>
            <w:pPr>
              <w:spacing w:line="500" w:lineRule="exact"/>
              <w:rPr>
                <w:rFonts w:ascii="宋体"/>
                <w:sz w:val="28"/>
              </w:rPr>
            </w:pPr>
            <w:r>
              <w:rPr>
                <w:rFonts w:hint="eastAsia" w:ascii="宋体"/>
                <w:sz w:val="28"/>
              </w:rPr>
              <w:t>提高理科素养研究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trPr>
        <w:tc>
          <w:tcPr>
            <w:tcW w:w="1135" w:type="dxa"/>
            <w:gridSpan w:val="2"/>
            <w:vAlign w:val="center"/>
          </w:tcPr>
          <w:p>
            <w:pPr>
              <w:spacing w:line="500" w:lineRule="exact"/>
              <w:jc w:val="center"/>
              <w:rPr>
                <w:rFonts w:ascii="宋体"/>
                <w:sz w:val="28"/>
              </w:rPr>
            </w:pPr>
            <w:r>
              <w:rPr>
                <w:rFonts w:hint="eastAsia" w:ascii="宋体"/>
                <w:sz w:val="28"/>
              </w:rPr>
              <w:t>谈丽清</w:t>
            </w:r>
          </w:p>
        </w:tc>
        <w:tc>
          <w:tcPr>
            <w:tcW w:w="2551" w:type="dxa"/>
            <w:gridSpan w:val="2"/>
            <w:vAlign w:val="center"/>
          </w:tcPr>
          <w:p>
            <w:pPr>
              <w:spacing w:line="500" w:lineRule="exact"/>
              <w:jc w:val="center"/>
              <w:rPr>
                <w:rFonts w:ascii="宋体"/>
                <w:sz w:val="28"/>
              </w:rPr>
            </w:pPr>
            <w:r>
              <w:rPr>
                <w:rFonts w:hint="eastAsia" w:ascii="宋体"/>
                <w:sz w:val="28"/>
              </w:rPr>
              <w:t>常州西藏民族中学</w:t>
            </w:r>
          </w:p>
        </w:tc>
        <w:tc>
          <w:tcPr>
            <w:tcW w:w="2268" w:type="dxa"/>
            <w:gridSpan w:val="2"/>
            <w:vAlign w:val="center"/>
          </w:tcPr>
          <w:p>
            <w:pPr>
              <w:spacing w:line="500" w:lineRule="exact"/>
              <w:jc w:val="center"/>
              <w:rPr>
                <w:rFonts w:ascii="宋体"/>
                <w:sz w:val="28"/>
              </w:rPr>
            </w:pPr>
            <w:r>
              <w:rPr>
                <w:rFonts w:hint="eastAsia" w:ascii="宋体"/>
                <w:sz w:val="28"/>
              </w:rPr>
              <w:t>中小学教师高级</w:t>
            </w:r>
          </w:p>
        </w:tc>
        <w:tc>
          <w:tcPr>
            <w:tcW w:w="2552" w:type="dxa"/>
            <w:gridSpan w:val="3"/>
          </w:tcPr>
          <w:p>
            <w:pPr>
              <w:spacing w:line="500" w:lineRule="exact"/>
              <w:rPr>
                <w:rFonts w:ascii="宋体"/>
                <w:sz w:val="28"/>
              </w:rPr>
            </w:pPr>
            <w:r>
              <w:rPr>
                <w:rFonts w:hint="eastAsia" w:ascii="宋体"/>
                <w:sz w:val="28"/>
              </w:rPr>
              <w:t>理科素养现状分析</w:t>
            </w:r>
          </w:p>
          <w:p>
            <w:pPr>
              <w:spacing w:line="500" w:lineRule="exact"/>
              <w:rPr>
                <w:rFonts w:ascii="宋体"/>
                <w:sz w:val="28"/>
              </w:rPr>
            </w:pPr>
            <w:r>
              <w:rPr>
                <w:rFonts w:hint="eastAsia" w:ascii="宋体"/>
                <w:sz w:val="28"/>
              </w:rPr>
              <w:t>提高理科素养研究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trPr>
        <w:tc>
          <w:tcPr>
            <w:tcW w:w="1135" w:type="dxa"/>
            <w:gridSpan w:val="2"/>
            <w:vAlign w:val="center"/>
          </w:tcPr>
          <w:p>
            <w:pPr>
              <w:spacing w:line="500" w:lineRule="exact"/>
              <w:jc w:val="center"/>
              <w:rPr>
                <w:rFonts w:ascii="宋体"/>
                <w:sz w:val="28"/>
              </w:rPr>
            </w:pPr>
            <w:r>
              <w:rPr>
                <w:rFonts w:hint="eastAsia" w:ascii="宋体"/>
                <w:sz w:val="28"/>
              </w:rPr>
              <w:t>吴文斌</w:t>
            </w:r>
          </w:p>
        </w:tc>
        <w:tc>
          <w:tcPr>
            <w:tcW w:w="2551" w:type="dxa"/>
            <w:gridSpan w:val="2"/>
            <w:vAlign w:val="center"/>
          </w:tcPr>
          <w:p>
            <w:pPr>
              <w:spacing w:line="500" w:lineRule="exact"/>
              <w:jc w:val="center"/>
              <w:rPr>
                <w:rFonts w:ascii="宋体"/>
                <w:sz w:val="28"/>
              </w:rPr>
            </w:pPr>
            <w:r>
              <w:rPr>
                <w:rFonts w:hint="eastAsia" w:ascii="宋体"/>
                <w:sz w:val="28"/>
              </w:rPr>
              <w:t>常州西藏民族中学</w:t>
            </w:r>
          </w:p>
        </w:tc>
        <w:tc>
          <w:tcPr>
            <w:tcW w:w="2268" w:type="dxa"/>
            <w:gridSpan w:val="2"/>
            <w:vAlign w:val="center"/>
          </w:tcPr>
          <w:p>
            <w:pPr>
              <w:spacing w:line="500" w:lineRule="exact"/>
              <w:jc w:val="center"/>
              <w:rPr>
                <w:rFonts w:ascii="宋体"/>
                <w:sz w:val="28"/>
              </w:rPr>
            </w:pPr>
            <w:r>
              <w:rPr>
                <w:rFonts w:hint="eastAsia" w:ascii="宋体"/>
                <w:sz w:val="28"/>
              </w:rPr>
              <w:t>中小学教师一级</w:t>
            </w:r>
          </w:p>
        </w:tc>
        <w:tc>
          <w:tcPr>
            <w:tcW w:w="2552" w:type="dxa"/>
            <w:gridSpan w:val="3"/>
          </w:tcPr>
          <w:p>
            <w:pPr>
              <w:spacing w:line="500" w:lineRule="exact"/>
              <w:rPr>
                <w:rFonts w:ascii="宋体"/>
                <w:sz w:val="28"/>
              </w:rPr>
            </w:pPr>
            <w:r>
              <w:rPr>
                <w:rFonts w:hint="eastAsia" w:ascii="宋体"/>
                <w:sz w:val="28"/>
              </w:rPr>
              <w:t>理科素养现状分析</w:t>
            </w:r>
          </w:p>
          <w:p>
            <w:pPr>
              <w:spacing w:line="500" w:lineRule="exact"/>
              <w:rPr>
                <w:rFonts w:ascii="宋体"/>
                <w:sz w:val="28"/>
              </w:rPr>
            </w:pPr>
            <w:r>
              <w:rPr>
                <w:rFonts w:hint="eastAsia" w:ascii="宋体"/>
                <w:sz w:val="28"/>
              </w:rPr>
              <w:t>提高理科素养研究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trPr>
        <w:tc>
          <w:tcPr>
            <w:tcW w:w="1135" w:type="dxa"/>
            <w:gridSpan w:val="2"/>
            <w:vAlign w:val="center"/>
          </w:tcPr>
          <w:p>
            <w:pPr>
              <w:spacing w:line="500" w:lineRule="exact"/>
              <w:jc w:val="center"/>
              <w:rPr>
                <w:rFonts w:ascii="宋体"/>
                <w:sz w:val="28"/>
              </w:rPr>
            </w:pPr>
            <w:r>
              <w:rPr>
                <w:rFonts w:hint="eastAsia" w:ascii="宋体"/>
                <w:sz w:val="28"/>
              </w:rPr>
              <w:t>周兰</w:t>
            </w:r>
          </w:p>
        </w:tc>
        <w:tc>
          <w:tcPr>
            <w:tcW w:w="2551" w:type="dxa"/>
            <w:gridSpan w:val="2"/>
            <w:vAlign w:val="center"/>
          </w:tcPr>
          <w:p>
            <w:pPr>
              <w:spacing w:line="500" w:lineRule="exact"/>
              <w:jc w:val="center"/>
              <w:rPr>
                <w:rFonts w:ascii="宋体"/>
                <w:sz w:val="28"/>
              </w:rPr>
            </w:pPr>
            <w:r>
              <w:rPr>
                <w:rFonts w:hint="eastAsia" w:ascii="宋体"/>
                <w:sz w:val="28"/>
              </w:rPr>
              <w:t>常州西藏民族中学</w:t>
            </w:r>
          </w:p>
        </w:tc>
        <w:tc>
          <w:tcPr>
            <w:tcW w:w="2268" w:type="dxa"/>
            <w:gridSpan w:val="2"/>
            <w:vAlign w:val="center"/>
          </w:tcPr>
          <w:p>
            <w:pPr>
              <w:spacing w:line="500" w:lineRule="exact"/>
              <w:jc w:val="center"/>
              <w:rPr>
                <w:rFonts w:ascii="宋体"/>
                <w:sz w:val="28"/>
              </w:rPr>
            </w:pPr>
            <w:r>
              <w:rPr>
                <w:rFonts w:hint="eastAsia" w:ascii="宋体"/>
                <w:sz w:val="28"/>
              </w:rPr>
              <w:t>中小学教师二级</w:t>
            </w:r>
          </w:p>
        </w:tc>
        <w:tc>
          <w:tcPr>
            <w:tcW w:w="2552" w:type="dxa"/>
            <w:gridSpan w:val="3"/>
          </w:tcPr>
          <w:p>
            <w:pPr>
              <w:spacing w:line="500" w:lineRule="exact"/>
              <w:rPr>
                <w:rFonts w:ascii="宋体"/>
                <w:sz w:val="28"/>
              </w:rPr>
            </w:pPr>
            <w:r>
              <w:rPr>
                <w:rFonts w:hint="eastAsia" w:ascii="宋体"/>
                <w:sz w:val="28"/>
              </w:rPr>
              <w:t>理科素养现状分析</w:t>
            </w:r>
          </w:p>
          <w:p>
            <w:pPr>
              <w:spacing w:line="500" w:lineRule="exact"/>
              <w:rPr>
                <w:rFonts w:ascii="宋体"/>
                <w:sz w:val="28"/>
              </w:rPr>
            </w:pPr>
            <w:r>
              <w:rPr>
                <w:rFonts w:hint="eastAsia" w:ascii="宋体"/>
                <w:sz w:val="28"/>
              </w:rPr>
              <w:t>提高理科素养研究</w:t>
            </w:r>
          </w:p>
          <w:p>
            <w:pPr>
              <w:spacing w:line="500" w:lineRule="exact"/>
              <w:rPr>
                <w:rFonts w:ascii="宋体"/>
                <w:sz w:val="28"/>
              </w:rPr>
            </w:pPr>
            <w:r>
              <w:rPr>
                <w:rFonts w:hint="eastAsia" w:ascii="宋体"/>
                <w:sz w:val="28"/>
              </w:rPr>
              <w:t>微课的优势分析</w:t>
            </w:r>
          </w:p>
        </w:tc>
      </w:tr>
    </w:tbl>
    <w:p>
      <w:pPr>
        <w:ind w:firstLine="585"/>
        <w:jc w:val="center"/>
        <w:rPr>
          <w:rFonts w:ascii="宋体" w:hAnsi="宋体"/>
          <w:b/>
          <w:sz w:val="36"/>
          <w:szCs w:val="36"/>
        </w:rPr>
      </w:pPr>
    </w:p>
    <w:p>
      <w:pPr>
        <w:ind w:firstLine="585"/>
        <w:jc w:val="center"/>
        <w:rPr>
          <w:rFonts w:ascii="宋体" w:hAnsi="宋体"/>
          <w:b/>
          <w:sz w:val="36"/>
          <w:szCs w:val="36"/>
        </w:rPr>
      </w:pPr>
    </w:p>
    <w:p>
      <w:pPr>
        <w:spacing w:line="500" w:lineRule="exact"/>
        <w:rPr>
          <w:rFonts w:ascii="宋体"/>
          <w:sz w:val="32"/>
        </w:rPr>
      </w:pPr>
      <w:r>
        <w:rPr>
          <w:rFonts w:hint="eastAsia" w:ascii="黑体" w:eastAsia="黑体"/>
          <w:sz w:val="32"/>
        </w:rPr>
        <w:t>二、工作报告</w:t>
      </w:r>
    </w:p>
    <w:tbl>
      <w:tblPr>
        <w:tblStyle w:val="6"/>
        <w:tblW w:w="842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trPr>
        <w:tc>
          <w:tcPr>
            <w:tcW w:w="8421" w:type="dxa"/>
            <w:vAlign w:val="center"/>
          </w:tcPr>
          <w:p>
            <w:pPr>
              <w:spacing w:line="500" w:lineRule="exact"/>
              <w:rPr>
                <w:rFonts w:ascii="宋体"/>
                <w:sz w:val="28"/>
              </w:rPr>
            </w:pPr>
            <w:r>
              <w:rPr>
                <w:rFonts w:hint="eastAsia" w:ascii="宋体"/>
                <w:b/>
                <w:sz w:val="28"/>
              </w:rPr>
              <w:t>内容提示：</w:t>
            </w:r>
            <w:r>
              <w:rPr>
                <w:rFonts w:hint="eastAsia" w:ascii="宋体"/>
                <w:sz w:val="28"/>
              </w:rPr>
              <w:t>研究的主要过程和活动；研究计划执行情况；研究变更情况（课题负责人、课题名称、研究内容、成果形式、管理单位、完成时间等）；成果的出版、发表情况，转载、采用、引用情况等。</w:t>
            </w:r>
            <w:r>
              <w:rPr>
                <w:rFonts w:hint="eastAsia" w:ascii="宋体"/>
                <w:sz w:val="32"/>
              </w:rPr>
              <w:t>（限2000字）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9" w:hRule="atLeast"/>
        </w:trPr>
        <w:tc>
          <w:tcPr>
            <w:tcW w:w="8421" w:type="dxa"/>
          </w:tcPr>
          <w:p>
            <w:pPr>
              <w:spacing w:line="480" w:lineRule="exact"/>
              <w:ind w:firstLine="560" w:firstLineChars="200"/>
              <w:rPr>
                <w:rFonts w:ascii="宋体"/>
                <w:sz w:val="28"/>
              </w:rPr>
            </w:pPr>
            <w:r>
              <w:rPr>
                <w:rFonts w:hint="eastAsia" w:ascii="宋体"/>
                <w:sz w:val="28"/>
              </w:rPr>
              <w:t>一、研究工作主要进展情况</w:t>
            </w:r>
          </w:p>
          <w:p>
            <w:pPr>
              <w:spacing w:line="480" w:lineRule="exact"/>
              <w:ind w:firstLine="560" w:firstLineChars="200"/>
              <w:rPr>
                <w:rFonts w:ascii="宋体"/>
                <w:sz w:val="28"/>
              </w:rPr>
            </w:pPr>
            <w:r>
              <w:rPr>
                <w:rFonts w:hint="eastAsia" w:ascii="宋体"/>
                <w:sz w:val="28"/>
              </w:rPr>
              <w:t>（一）、根据开题时专家的意见，同时听取各门学科的代表的想法，将原来开题报告的研究内容进行了细化与修改，修改后的研究内容如下：</w:t>
            </w:r>
          </w:p>
          <w:p>
            <w:pPr>
              <w:spacing w:line="480" w:lineRule="exact"/>
              <w:ind w:firstLine="560" w:firstLineChars="200"/>
              <w:rPr>
                <w:rFonts w:ascii="宋体"/>
                <w:sz w:val="28"/>
              </w:rPr>
            </w:pPr>
            <w:r>
              <w:rPr>
                <w:rFonts w:hint="eastAsia" w:ascii="宋体"/>
                <w:sz w:val="28"/>
              </w:rPr>
              <w:t>1、内地西藏初中校学生理科素养现状调查及情况分析</w:t>
            </w:r>
          </w:p>
          <w:p>
            <w:pPr>
              <w:spacing w:line="480" w:lineRule="exact"/>
              <w:ind w:firstLine="560" w:firstLineChars="200"/>
              <w:rPr>
                <w:rFonts w:ascii="宋体"/>
                <w:sz w:val="28"/>
              </w:rPr>
            </w:pPr>
            <w:r>
              <w:rPr>
                <w:rFonts w:hint="eastAsia" w:ascii="宋体"/>
                <w:sz w:val="28"/>
              </w:rPr>
              <w:t>2、微课在内地西藏初中校理科教学中的优势分析</w:t>
            </w:r>
          </w:p>
          <w:p>
            <w:pPr>
              <w:spacing w:line="480" w:lineRule="exact"/>
              <w:ind w:firstLine="560" w:firstLineChars="200"/>
              <w:rPr>
                <w:rFonts w:ascii="宋体"/>
                <w:sz w:val="28"/>
              </w:rPr>
            </w:pPr>
            <w:r>
              <w:rPr>
                <w:rFonts w:hint="eastAsia" w:ascii="宋体"/>
                <w:sz w:val="28"/>
              </w:rPr>
              <w:t>3、 “和美课堂”理科教学中，微课如何提高理科素养的研究</w:t>
            </w:r>
          </w:p>
          <w:p>
            <w:pPr>
              <w:spacing w:line="480" w:lineRule="exact"/>
              <w:ind w:firstLine="560" w:firstLineChars="200"/>
              <w:rPr>
                <w:rFonts w:ascii="宋体"/>
                <w:sz w:val="28"/>
              </w:rPr>
            </w:pPr>
            <w:r>
              <w:rPr>
                <w:rFonts w:hint="eastAsia" w:ascii="宋体"/>
                <w:sz w:val="28"/>
              </w:rPr>
              <w:t>4、根据专家的意见，对人员分工按照内容进行分工。</w:t>
            </w:r>
          </w:p>
          <w:p>
            <w:pPr>
              <w:spacing w:line="480" w:lineRule="exact"/>
              <w:ind w:firstLine="560" w:firstLineChars="200"/>
              <w:rPr>
                <w:rFonts w:ascii="宋体"/>
                <w:sz w:val="28"/>
              </w:rPr>
            </w:pPr>
            <w:r>
              <w:rPr>
                <w:rFonts w:hint="eastAsia" w:ascii="宋体"/>
                <w:sz w:val="28"/>
              </w:rPr>
              <w:t>（二）加强理论学习，提高教师研究水平</w:t>
            </w:r>
          </w:p>
          <w:p>
            <w:pPr>
              <w:spacing w:line="480" w:lineRule="exact"/>
              <w:ind w:firstLine="560" w:firstLineChars="200"/>
              <w:rPr>
                <w:rFonts w:ascii="宋体"/>
                <w:sz w:val="28"/>
              </w:rPr>
            </w:pPr>
            <w:r>
              <w:rPr>
                <w:rFonts w:hint="eastAsia" w:ascii="宋体"/>
                <w:sz w:val="28"/>
              </w:rPr>
              <w:t>通过开展课题研究，本组成员阅览了很多教育教学、关于课题方面的书籍，查阅了大量文献资料，学习了先进的教育教学理论知识，更新了教学理念，教师的理论水平和研究能力得到了较大幅度的提升。</w:t>
            </w:r>
          </w:p>
          <w:p>
            <w:pPr>
              <w:spacing w:line="480" w:lineRule="exact"/>
              <w:ind w:firstLine="560" w:firstLineChars="200"/>
              <w:rPr>
                <w:rFonts w:ascii="宋体"/>
                <w:sz w:val="28"/>
              </w:rPr>
            </w:pPr>
            <w:r>
              <w:rPr>
                <w:rFonts w:hint="eastAsia" w:ascii="宋体"/>
                <w:sz w:val="28"/>
              </w:rPr>
              <w:t>我们采用集体学习和分散学习相结合的方法，通过上网、学习专著、阅读教育教学类刊物，较大幅度提高了老师的专业理论水平。</w:t>
            </w:r>
          </w:p>
          <w:p>
            <w:pPr>
              <w:spacing w:line="480" w:lineRule="exact"/>
              <w:ind w:firstLine="560" w:firstLineChars="200"/>
              <w:rPr>
                <w:rFonts w:ascii="宋体"/>
                <w:sz w:val="28"/>
              </w:rPr>
            </w:pPr>
            <w:r>
              <w:rPr>
                <w:rFonts w:hint="eastAsia" w:ascii="宋体"/>
                <w:sz w:val="28"/>
              </w:rPr>
              <w:t>（三）、积极调研，获取真实数据</w:t>
            </w:r>
          </w:p>
          <w:p>
            <w:pPr>
              <w:spacing w:line="480" w:lineRule="exact"/>
              <w:ind w:firstLine="560" w:firstLineChars="200"/>
              <w:rPr>
                <w:rFonts w:ascii="宋体"/>
                <w:sz w:val="28"/>
              </w:rPr>
            </w:pPr>
            <w:r>
              <w:rPr>
                <w:rFonts w:hint="eastAsia" w:ascii="宋体"/>
                <w:sz w:val="28"/>
              </w:rPr>
              <w:t>对应理科四门功课来说，理科素养中的哪些素养需要提高，我们还不知道。想要得到内地西藏初中校的学生理科素养现状的层次，我们必须通过调查、访谈以及相关数据整理，才能清楚；另外，学生平时有没有接触到微视频这样的形式的媒体，什么样的课型较适合使用微视频这些都需要进行问卷调查。为此课题组成员在一起进行商讨，设计出五份调查问卷，通过这份问卷，得到了以下结论：</w:t>
            </w:r>
          </w:p>
          <w:p>
            <w:pPr>
              <w:spacing w:line="480" w:lineRule="exact"/>
              <w:ind w:firstLine="560" w:firstLineChars="200"/>
              <w:rPr>
                <w:rFonts w:ascii="宋体"/>
                <w:sz w:val="28"/>
              </w:rPr>
            </w:pPr>
            <w:r>
              <w:rPr>
                <w:rFonts w:hint="eastAsia" w:ascii="宋体"/>
                <w:sz w:val="28"/>
              </w:rPr>
              <w:t>1、从使用课程上来看，语文、数学、英语、物理、化学、政治、历史课上使用较多的微视频，认为在数学、物理、化学、历史、生物、地理等课程上使用微视频效果较好。</w:t>
            </w:r>
          </w:p>
          <w:p>
            <w:pPr>
              <w:spacing w:line="480" w:lineRule="exact"/>
              <w:ind w:firstLine="560" w:firstLineChars="200"/>
              <w:rPr>
                <w:rFonts w:ascii="宋体"/>
                <w:sz w:val="28"/>
              </w:rPr>
            </w:pPr>
            <w:r>
              <w:rPr>
                <w:rFonts w:hint="eastAsia" w:ascii="宋体"/>
                <w:sz w:val="28"/>
              </w:rPr>
              <w:t>2、有67%的同学认为微视频在理科学习中有帮助。</w:t>
            </w:r>
          </w:p>
          <w:p>
            <w:pPr>
              <w:spacing w:line="480" w:lineRule="exact"/>
              <w:ind w:firstLine="560" w:firstLineChars="200"/>
              <w:rPr>
                <w:rFonts w:ascii="宋体"/>
                <w:sz w:val="28"/>
              </w:rPr>
            </w:pPr>
            <w:r>
              <w:rPr>
                <w:rFonts w:hint="eastAsia" w:ascii="宋体"/>
                <w:sz w:val="28"/>
              </w:rPr>
              <w:t>3、微视频效果较好，但是师生沟通不能少；引进学生感兴趣的内容或电影片断来结合课上内容讲较好；建议抽象的学习内容用微视频进行教学。</w:t>
            </w:r>
          </w:p>
          <w:p>
            <w:pPr>
              <w:spacing w:line="480" w:lineRule="exact"/>
              <w:ind w:firstLine="560" w:firstLineChars="200"/>
              <w:rPr>
                <w:rFonts w:ascii="宋体"/>
                <w:sz w:val="28"/>
              </w:rPr>
            </w:pPr>
            <w:r>
              <w:rPr>
                <w:rFonts w:hint="eastAsia" w:ascii="宋体"/>
                <w:sz w:val="28"/>
              </w:rPr>
              <w:t xml:space="preserve">4、物理、化学、历史、地理使用微视频的次数较多，有利于加强理解，希望有可继续保持。 </w:t>
            </w:r>
          </w:p>
          <w:p>
            <w:pPr>
              <w:spacing w:line="480" w:lineRule="exact"/>
              <w:ind w:firstLine="560" w:firstLineChars="200"/>
              <w:rPr>
                <w:rFonts w:ascii="宋体"/>
                <w:sz w:val="28"/>
              </w:rPr>
            </w:pPr>
            <w:r>
              <w:rPr>
                <w:rFonts w:hint="eastAsia" w:ascii="宋体"/>
                <w:sz w:val="28"/>
              </w:rPr>
              <w:t>5、学生计算能力、实验探究能力、数形结合能力、逻辑推理能力、数学建模能力、数据处理能力、微观粒子模型应用能力、创新能力比较弱，有待进一步加强。</w:t>
            </w:r>
          </w:p>
          <w:p>
            <w:pPr>
              <w:spacing w:line="480" w:lineRule="exact"/>
              <w:ind w:firstLine="560" w:firstLineChars="200"/>
              <w:rPr>
                <w:rFonts w:ascii="宋体"/>
                <w:sz w:val="28"/>
              </w:rPr>
            </w:pPr>
            <w:r>
              <w:rPr>
                <w:rFonts w:hint="eastAsia" w:ascii="宋体"/>
                <w:sz w:val="28"/>
              </w:rPr>
              <w:t>（四）专家引领，指点迷津。</w:t>
            </w:r>
          </w:p>
          <w:p>
            <w:pPr>
              <w:spacing w:line="480" w:lineRule="exact"/>
              <w:ind w:firstLine="560" w:firstLineChars="200"/>
              <w:rPr>
                <w:rFonts w:ascii="宋体"/>
                <w:sz w:val="28"/>
              </w:rPr>
            </w:pPr>
            <w:r>
              <w:rPr>
                <w:rFonts w:hint="eastAsia" w:ascii="宋体"/>
                <w:sz w:val="28"/>
              </w:rPr>
              <w:t xml:space="preserve">为了使课题组成员快速进入本课题的研究，在结合组员自学的前提下，学校邀请多名专家来校对课题组成员进行指导，对课题的内容进行修改，使研究内容更加完善与合理，同时指导如何开展课题研究，理论上该如何做，操作上该如何做，为老师们的研究打下了基础。通过专家的引领，课题组成员迅速把握课题研究方向，少走了许多弯路。 </w:t>
            </w:r>
          </w:p>
          <w:p>
            <w:pPr>
              <w:spacing w:line="480" w:lineRule="exact"/>
              <w:ind w:firstLine="560" w:firstLineChars="200"/>
              <w:rPr>
                <w:rFonts w:ascii="宋体"/>
                <w:sz w:val="28"/>
              </w:rPr>
            </w:pPr>
            <w:r>
              <w:rPr>
                <w:rFonts w:hint="eastAsia" w:ascii="宋体"/>
                <w:sz w:val="28"/>
              </w:rPr>
              <w:t>（五）积极实践，将微视频应用到教学中。</w:t>
            </w:r>
          </w:p>
          <w:p>
            <w:pPr>
              <w:spacing w:line="480" w:lineRule="exact"/>
              <w:ind w:firstLine="560" w:firstLineChars="200"/>
              <w:rPr>
                <w:rFonts w:ascii="宋体"/>
                <w:sz w:val="28"/>
              </w:rPr>
            </w:pPr>
            <w:r>
              <w:rPr>
                <w:rFonts w:hint="eastAsia" w:ascii="宋体"/>
                <w:sz w:val="28"/>
              </w:rPr>
              <w:t>自课题立项以来，课题组成员走进课堂，积极实践，并定期开展研讨活动。朱文斌、商汉勇、吴文斌、周兰老师、邢长敏、虞俊等老师在公开课中大量使用微课，使同学能够更快的掌握课堂所学内容。</w:t>
            </w:r>
          </w:p>
          <w:p>
            <w:pPr>
              <w:spacing w:line="480" w:lineRule="exact"/>
              <w:ind w:firstLine="560" w:firstLineChars="200"/>
              <w:rPr>
                <w:rFonts w:ascii="宋体"/>
                <w:sz w:val="28"/>
              </w:rPr>
            </w:pPr>
            <w:r>
              <w:rPr>
                <w:rFonts w:hint="eastAsia" w:ascii="宋体"/>
                <w:sz w:val="28"/>
              </w:rPr>
              <w:t>（六）定期开展研讨活动，反思并升华。</w:t>
            </w:r>
          </w:p>
          <w:p>
            <w:pPr>
              <w:spacing w:line="480" w:lineRule="exact"/>
              <w:ind w:firstLine="560" w:firstLineChars="200"/>
              <w:rPr>
                <w:rFonts w:ascii="宋体"/>
                <w:sz w:val="28"/>
              </w:rPr>
            </w:pPr>
            <w:r>
              <w:rPr>
                <w:rFonts w:hint="eastAsia" w:ascii="宋体"/>
                <w:sz w:val="28"/>
              </w:rPr>
              <w:t>开展课题研究活动以来，教师的教科研意识和能力逐步增强，他们边学习理论，边研究探讨、边进行课堂实践和教学改革，他们注重对教学行为研讨与深入的反思，从研讨与反思中促进了课题组老师的成长，同时通过研讨，老师知道微视频的使用在什么情况下使用才是最佳的，微视频在本节课上使用有什么积极的意义；课后，上课老师让学生写这一节课中使用微视频的感受。</w:t>
            </w:r>
          </w:p>
          <w:p>
            <w:pPr>
              <w:spacing w:line="480" w:lineRule="exact"/>
              <w:ind w:firstLine="560" w:firstLineChars="200"/>
              <w:rPr>
                <w:rFonts w:ascii="宋体"/>
                <w:sz w:val="28"/>
              </w:rPr>
            </w:pPr>
            <w:r>
              <w:rPr>
                <w:rFonts w:hint="eastAsia" w:ascii="宋体"/>
                <w:sz w:val="28"/>
              </w:rPr>
              <w:t>（七）形成使用微视频课型模式</w:t>
            </w:r>
          </w:p>
          <w:p>
            <w:pPr>
              <w:spacing w:line="480" w:lineRule="exact"/>
              <w:ind w:firstLine="560" w:firstLineChars="200"/>
              <w:rPr>
                <w:rFonts w:ascii="宋体"/>
                <w:sz w:val="28"/>
              </w:rPr>
            </w:pPr>
            <w:r>
              <w:rPr>
                <w:rFonts w:hint="eastAsia" w:ascii="宋体"/>
                <w:sz w:val="28"/>
              </w:rPr>
              <w:t>通过一年的摸索，初步形成一些使用微视频上课的模式，如：习题课时，用微视频与翻转课堂相结合，利用和美课程中的展评学习法，在前端学习时，播放微视频，让学生掌握解题方法，并完成老师的相关练习。课上，老师解决学生在前端学习中的问题，并完成课上学习部分；理化生实验复习课上，使用微视频还原实验现象，让学生能够快速的回忆实验过程，并使用微视频呈现实验中的重点环节；数学图形课上，利用微视频找出各个图形之关的区别与联系等；化学课上，使用微视频显示原子结构。</w:t>
            </w:r>
          </w:p>
          <w:p>
            <w:pPr>
              <w:spacing w:line="480" w:lineRule="exact"/>
              <w:ind w:firstLine="560" w:firstLineChars="200"/>
              <w:rPr>
                <w:rFonts w:ascii="宋体"/>
                <w:sz w:val="28"/>
              </w:rPr>
            </w:pPr>
            <w:r>
              <w:rPr>
                <w:rFonts w:hint="eastAsia" w:ascii="宋体"/>
                <w:sz w:val="28"/>
              </w:rPr>
              <w:t>二、成果的发表情况</w:t>
            </w:r>
          </w:p>
          <w:p>
            <w:pPr>
              <w:spacing w:line="480" w:lineRule="exact"/>
              <w:ind w:firstLine="560" w:firstLineChars="200"/>
              <w:rPr>
                <w:rFonts w:ascii="宋体"/>
                <w:sz w:val="28"/>
              </w:rPr>
            </w:pPr>
            <w:r>
              <w:rPr>
                <w:rFonts w:hint="eastAsia" w:ascii="宋体"/>
                <w:sz w:val="28"/>
              </w:rPr>
              <w:t>本次课题，一共有6篇文章在省级刊物上发表，具体如下：</w:t>
            </w:r>
          </w:p>
          <w:p>
            <w:pPr>
              <w:spacing w:line="480" w:lineRule="exact"/>
              <w:ind w:firstLine="560" w:firstLineChars="200"/>
              <w:rPr>
                <w:rFonts w:ascii="宋体"/>
                <w:sz w:val="28"/>
              </w:rPr>
            </w:pPr>
            <w:r>
              <w:rPr>
                <w:rFonts w:hint="eastAsia" w:ascii="宋体"/>
                <w:sz w:val="28"/>
              </w:rPr>
              <w:t>1、论文《微视频应用于内地西藏民族学校物理教学初探》发表在《教育研究与评论》2019年5月20日/2019年第3期，作者：商汉勇</w:t>
            </w:r>
          </w:p>
          <w:p>
            <w:pPr>
              <w:spacing w:line="480" w:lineRule="exact"/>
              <w:ind w:firstLine="560" w:firstLineChars="200"/>
              <w:rPr>
                <w:rFonts w:ascii="宋体"/>
                <w:sz w:val="28"/>
              </w:rPr>
            </w:pPr>
            <w:r>
              <w:rPr>
                <w:rFonts w:hint="eastAsia" w:ascii="宋体"/>
                <w:sz w:val="28"/>
              </w:rPr>
              <w:t>2、论文《微课在西藏班（校）初中信息技术翻课堂教学中的应用》发表在《中国现代教育装备》2018年11月/总第302期，作者：邢长敏</w:t>
            </w:r>
          </w:p>
          <w:p>
            <w:pPr>
              <w:spacing w:line="480" w:lineRule="exact"/>
              <w:ind w:firstLine="560" w:firstLineChars="200"/>
              <w:rPr>
                <w:rFonts w:ascii="宋体"/>
                <w:sz w:val="28"/>
              </w:rPr>
            </w:pPr>
            <w:r>
              <w:rPr>
                <w:rFonts w:hint="eastAsia" w:ascii="宋体"/>
                <w:sz w:val="28"/>
              </w:rPr>
              <w:t>3、论文《“微课”在西藏班初中信息技术教学中的应用》发表在《课程与教学》2018年2月/2018年第5辑，作者：邢长敏</w:t>
            </w:r>
          </w:p>
          <w:p>
            <w:pPr>
              <w:spacing w:line="480" w:lineRule="exact"/>
              <w:ind w:firstLine="560" w:firstLineChars="200"/>
              <w:rPr>
                <w:rFonts w:ascii="宋体"/>
                <w:sz w:val="28"/>
              </w:rPr>
            </w:pPr>
            <w:r>
              <w:rPr>
                <w:rFonts w:hint="eastAsia" w:ascii="宋体"/>
                <w:sz w:val="28"/>
              </w:rPr>
              <w:t>4、论文《初中生基于微视频的数学自主学习策略研究》发表在《试题研究》2019年4月25日/2019年第12期，作者：吴文斌</w:t>
            </w:r>
          </w:p>
          <w:p>
            <w:pPr>
              <w:spacing w:line="480" w:lineRule="exact"/>
              <w:ind w:firstLine="560" w:firstLineChars="200"/>
              <w:rPr>
                <w:rFonts w:ascii="宋体"/>
                <w:sz w:val="28"/>
              </w:rPr>
            </w:pPr>
            <w:r>
              <w:rPr>
                <w:rFonts w:hint="eastAsia" w:ascii="宋体"/>
                <w:sz w:val="28"/>
              </w:rPr>
              <w:t>5、论文《“微课”在西藏班初中化学教学中的应用价值》发表在《课程与教学》2019年3月/2019年第5辑，作者：戴西红</w:t>
            </w:r>
          </w:p>
          <w:p>
            <w:pPr>
              <w:spacing w:line="480" w:lineRule="exact"/>
              <w:ind w:firstLine="560" w:firstLineChars="200"/>
              <w:rPr>
                <w:rFonts w:ascii="宋体"/>
                <w:sz w:val="28"/>
              </w:rPr>
            </w:pPr>
            <w:r>
              <w:rPr>
                <w:rFonts w:hint="eastAsia" w:ascii="宋体"/>
                <w:sz w:val="28"/>
              </w:rPr>
              <w:t>6、论文《“二力平衡”教学设计与反思》发表在《物理之友》2018年11月/2018年第11期作者：程在起</w:t>
            </w:r>
          </w:p>
        </w:tc>
      </w:tr>
    </w:tbl>
    <w:p>
      <w:pPr>
        <w:spacing w:line="500" w:lineRule="exact"/>
        <w:rPr>
          <w:rFonts w:ascii="黑体" w:eastAsia="黑体"/>
          <w:sz w:val="32"/>
        </w:rPr>
      </w:pPr>
    </w:p>
    <w:p>
      <w:pPr>
        <w:spacing w:line="500" w:lineRule="exact"/>
        <w:rPr>
          <w:rFonts w:ascii="黑体" w:eastAsia="黑体"/>
          <w:sz w:val="32"/>
        </w:rPr>
      </w:pPr>
    </w:p>
    <w:p>
      <w:pPr>
        <w:spacing w:line="500" w:lineRule="exact"/>
        <w:rPr>
          <w:rFonts w:ascii="宋体"/>
          <w:sz w:val="32"/>
        </w:rPr>
      </w:pPr>
      <w:r>
        <w:rPr>
          <w:rFonts w:hint="eastAsia" w:ascii="黑体" w:eastAsia="黑体"/>
          <w:sz w:val="32"/>
        </w:rPr>
        <w:t>三、研究报告</w:t>
      </w:r>
    </w:p>
    <w:tbl>
      <w:tblPr>
        <w:tblStyle w:val="6"/>
        <w:tblW w:w="842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trPr>
        <w:tc>
          <w:tcPr>
            <w:tcW w:w="8421" w:type="dxa"/>
            <w:vAlign w:val="center"/>
          </w:tcPr>
          <w:p>
            <w:pPr>
              <w:widowControl/>
              <w:adjustRightInd w:val="0"/>
              <w:snapToGrid w:val="0"/>
              <w:spacing w:line="520" w:lineRule="exact"/>
              <w:jc w:val="left"/>
              <w:rPr>
                <w:rFonts w:ascii="宋体"/>
                <w:sz w:val="28"/>
              </w:rPr>
            </w:pPr>
            <w:r>
              <w:rPr>
                <w:rFonts w:hint="eastAsia" w:ascii="宋体"/>
                <w:b/>
                <w:sz w:val="28"/>
              </w:rPr>
              <w:t>内容提示：</w:t>
            </w:r>
            <w:r>
              <w:rPr>
                <w:rFonts w:hint="eastAsia" w:ascii="宋体" w:hAnsi="宋体"/>
                <w:b/>
                <w:sz w:val="28"/>
                <w:szCs w:val="28"/>
              </w:rPr>
              <w:t>标识</w:t>
            </w:r>
            <w:r>
              <w:rPr>
                <w:rFonts w:hint="eastAsia" w:ascii="宋体"/>
                <w:sz w:val="28"/>
                <w:szCs w:val="28"/>
              </w:rPr>
              <w:t>（</w:t>
            </w:r>
            <w:r>
              <w:rPr>
                <w:rFonts w:hint="eastAsia" w:ascii="宋体" w:hAnsi="宋体"/>
                <w:sz w:val="28"/>
                <w:szCs w:val="28"/>
              </w:rPr>
              <w:t>单位、课题负责人、课题组主要成员、课题名称编号)</w:t>
            </w:r>
            <w:r>
              <w:rPr>
                <w:rFonts w:hint="eastAsia" w:ascii="宋体"/>
                <w:sz w:val="28"/>
                <w:szCs w:val="28"/>
              </w:rPr>
              <w:t>；</w:t>
            </w:r>
            <w:r>
              <w:rPr>
                <w:rFonts w:hint="eastAsia" w:ascii="宋体" w:hAnsi="宋体"/>
                <w:b/>
                <w:sz w:val="28"/>
                <w:szCs w:val="28"/>
              </w:rPr>
              <w:t>简介部分</w:t>
            </w:r>
            <w:r>
              <w:rPr>
                <w:rFonts w:hint="eastAsia" w:ascii="宋体"/>
                <w:sz w:val="28"/>
                <w:szCs w:val="28"/>
              </w:rPr>
              <w:t>（标题、摘要）；</w:t>
            </w:r>
            <w:r>
              <w:rPr>
                <w:rFonts w:hint="eastAsia" w:ascii="宋体" w:hAnsi="宋体"/>
                <w:b/>
                <w:sz w:val="28"/>
                <w:szCs w:val="28"/>
              </w:rPr>
              <w:t>主体部分（</w:t>
            </w:r>
            <w:r>
              <w:rPr>
                <w:rFonts w:hint="eastAsia" w:ascii="宋体" w:hAnsi="宋体"/>
                <w:sz w:val="28"/>
                <w:szCs w:val="28"/>
              </w:rPr>
              <w:t>研究问题：研究目的－研究意义－研究假设－核心概念；研究背景和文献综述：理论基础</w:t>
            </w:r>
            <w:r>
              <w:rPr>
                <w:rFonts w:ascii="宋体" w:hAnsi="宋体"/>
                <w:sz w:val="28"/>
                <w:szCs w:val="28"/>
              </w:rPr>
              <w:t>—</w:t>
            </w:r>
            <w:r>
              <w:rPr>
                <w:rFonts w:hint="eastAsia" w:ascii="宋体" w:hAnsi="宋体"/>
                <w:sz w:val="28"/>
                <w:szCs w:val="28"/>
              </w:rPr>
              <w:t>相关研究成果；研究过程：研究设计</w:t>
            </w:r>
            <w:r>
              <w:rPr>
                <w:rFonts w:ascii="宋体" w:hAnsi="宋体"/>
                <w:sz w:val="28"/>
                <w:szCs w:val="28"/>
              </w:rPr>
              <w:t>—</w:t>
            </w:r>
            <w:r>
              <w:rPr>
                <w:rFonts w:hint="eastAsia" w:ascii="宋体" w:hAnsi="宋体"/>
                <w:sz w:val="28"/>
                <w:szCs w:val="28"/>
              </w:rPr>
              <w:t>研究对象</w:t>
            </w:r>
            <w:r>
              <w:rPr>
                <w:rFonts w:ascii="宋体" w:hAnsi="宋体"/>
                <w:sz w:val="28"/>
                <w:szCs w:val="28"/>
              </w:rPr>
              <w:t>—</w:t>
            </w:r>
            <w:r>
              <w:rPr>
                <w:rFonts w:hint="eastAsia" w:ascii="宋体" w:hAnsi="宋体"/>
                <w:sz w:val="28"/>
                <w:szCs w:val="28"/>
              </w:rPr>
              <w:t>研究方法</w:t>
            </w:r>
            <w:r>
              <w:rPr>
                <w:rFonts w:ascii="宋体" w:hAnsi="宋体"/>
                <w:sz w:val="28"/>
                <w:szCs w:val="28"/>
              </w:rPr>
              <w:t>—</w:t>
            </w:r>
            <w:r>
              <w:rPr>
                <w:rFonts w:hint="eastAsia" w:ascii="宋体" w:hAnsi="宋体"/>
                <w:sz w:val="28"/>
                <w:szCs w:val="28"/>
              </w:rPr>
              <w:t>技术路线；研究发现或结论；研究分析或反思建议</w:t>
            </w:r>
            <w:r>
              <w:rPr>
                <w:rFonts w:hint="eastAsia" w:ascii="宋体" w:hAnsi="宋体"/>
                <w:b/>
                <w:sz w:val="28"/>
                <w:szCs w:val="28"/>
              </w:rPr>
              <w:t>）；主要成果；参考文献，附录（插图、表格、问卷等）</w:t>
            </w:r>
            <w:r>
              <w:rPr>
                <w:rFonts w:hint="eastAsia" w:ascii="宋体"/>
                <w:sz w:val="28"/>
                <w:szCs w:val="28"/>
              </w:rPr>
              <w:t>（限15000字）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3" w:hRule="atLeast"/>
        </w:trPr>
        <w:tc>
          <w:tcPr>
            <w:tcW w:w="8421" w:type="dxa"/>
          </w:tcPr>
          <w:p>
            <w:pPr>
              <w:spacing w:line="500" w:lineRule="exact"/>
              <w:ind w:firstLine="560" w:firstLineChars="200"/>
              <w:rPr>
                <w:rFonts w:ascii="宋体"/>
                <w:sz w:val="28"/>
              </w:rPr>
            </w:pPr>
            <w:r>
              <w:rPr>
                <w:rFonts w:hint="eastAsia" w:ascii="宋体"/>
                <w:sz w:val="28"/>
              </w:rPr>
              <w:t>由常州西藏民族中学申报的课题《“和美教育”理念下微课对提高内地西藏初中校学生理科素养的研究》正式立项为2017年度江苏省教育信息化研究课题（编号：20171102）。课题负责人为商汉勇，课题组主要成员有：朱文斌、虞俊、程在起、王成洋、邢长敏、戴西红、谈丽清、吴文斌、周兰等。</w:t>
            </w:r>
          </w:p>
          <w:p>
            <w:pPr>
              <w:spacing w:line="500" w:lineRule="exact"/>
              <w:ind w:firstLine="560" w:firstLineChars="200"/>
              <w:rPr>
                <w:rFonts w:ascii="宋体"/>
                <w:sz w:val="28"/>
              </w:rPr>
            </w:pPr>
            <w:r>
              <w:rPr>
                <w:rFonts w:hint="eastAsia" w:ascii="宋体"/>
                <w:sz w:val="28"/>
              </w:rPr>
              <w:t>开办内地西藏班是国家的一项重要民族政策，目的是为西藏的未来经济社会发展培养具有强烈爱国主义思想和较高科学文化素养的人才。从2002年开始，国家教育部决定通过中考，选拔成绩优秀的内地西藏初中校的学生进入内地各重点高中学校，散插在汉族班与汉族学生一起学习文化知识。</w:t>
            </w:r>
          </w:p>
          <w:p>
            <w:pPr>
              <w:spacing w:line="500" w:lineRule="exact"/>
              <w:ind w:firstLine="560" w:firstLineChars="200"/>
              <w:rPr>
                <w:rFonts w:ascii="宋体"/>
                <w:sz w:val="28"/>
              </w:rPr>
            </w:pPr>
            <w:r>
              <w:rPr>
                <w:rFonts w:hint="eastAsia" w:ascii="宋体"/>
                <w:sz w:val="28"/>
              </w:rPr>
              <w:t>近十年来，从一批批散插班高中毕业生中我们不难发现，80%以上的学生最终选择了文科。这种现象引起了西藏自治区教育厅与国家教育部的重视。2016年国家教育部先后派两批专家来江苏省常州西藏民族中学进行藏族学生理科学习的调研，想通过调研找到藏族学生学习理科难的原因，并以此为突破口，来提高藏族学生理科的学习成绩。藏族学生由于语言的障碍，生活经验的缺乏，教材的不适应等原因，在初高中阶段理科学习普遍感到吃力，这一点明显不同于内地汉族学生，具有鲜明的特点。针对藏族生的这一学习特点，我们认为微课在内地西藏班的理科教学中的优势很突出：重复好、场景再现、短小精悍等。本研究拟借助学校“和美教育”理念下的和美课堂，将微课应用于理科教学，探究提高西藏学生的理科素养的有效途径，研究成果将成为解决藏族学生学习理科难的方法之一，研究成果将有利于提高藏族学生的理科素养，为民族地区培养应用型和实践型的理工科人才和建设者，打下坚实的基础。</w:t>
            </w:r>
          </w:p>
          <w:p>
            <w:pPr>
              <w:spacing w:line="500" w:lineRule="exact"/>
              <w:ind w:firstLine="560" w:firstLineChars="200"/>
              <w:rPr>
                <w:rFonts w:ascii="宋体"/>
                <w:sz w:val="28"/>
              </w:rPr>
            </w:pPr>
            <w:r>
              <w:rPr>
                <w:rFonts w:hint="eastAsia" w:ascii="宋体"/>
                <w:sz w:val="28"/>
              </w:rPr>
              <w:t>内地西藏初中校的办学规模不断扩大，办学影响不容忽视，教育的辐射功能逐步显现。就当下的现实看，内地西藏初中校的办学总体水平有待进一步提升，学校教学质量也存在提升的空间。在当前新课改的背景下，西藏的基础教育更需要与时俱进。本研究成果将进一步推进内地西藏初中校理科教学与信息技术相整合，并成为“互联网+”教学模式的研究的一个内容。</w:t>
            </w:r>
          </w:p>
          <w:p>
            <w:pPr>
              <w:spacing w:line="500" w:lineRule="exact"/>
              <w:ind w:firstLine="560" w:firstLineChars="200"/>
              <w:rPr>
                <w:rFonts w:ascii="宋体"/>
                <w:sz w:val="28"/>
              </w:rPr>
            </w:pPr>
            <w:r>
              <w:rPr>
                <w:rFonts w:hint="eastAsia" w:ascii="宋体"/>
                <w:sz w:val="28"/>
              </w:rPr>
              <w:t>本结题报告是对这二年来常州西藏民族中学开展课题《“和美教育”理念下微课对提高内地西藏初中校学生理科素养的研究》研究的描述与反思，主要分为六个部分：一、课题试图解决的主要问题；二、课题核心概念的再理解；三、课题研究的目标与内容；四、课题研究的主要过程与方法；五、课题研究的主要成果；六、课题研究的价值与社会效益。</w:t>
            </w:r>
          </w:p>
          <w:p>
            <w:pPr>
              <w:spacing w:line="500" w:lineRule="exact"/>
              <w:ind w:firstLine="560" w:firstLineChars="200"/>
              <w:rPr>
                <w:rFonts w:ascii="宋体"/>
                <w:sz w:val="28"/>
              </w:rPr>
            </w:pPr>
            <w:r>
              <w:rPr>
                <w:rFonts w:hint="eastAsia" w:ascii="宋体"/>
                <w:sz w:val="28"/>
              </w:rPr>
              <w:t>一、课题试图解决的主要问题</w:t>
            </w:r>
          </w:p>
          <w:p>
            <w:pPr>
              <w:spacing w:line="500" w:lineRule="exact"/>
              <w:ind w:firstLine="560" w:firstLineChars="200"/>
              <w:rPr>
                <w:rFonts w:ascii="宋体"/>
                <w:sz w:val="28"/>
              </w:rPr>
            </w:pPr>
            <w:r>
              <w:rPr>
                <w:rFonts w:hint="eastAsia" w:ascii="宋体"/>
                <w:sz w:val="28"/>
              </w:rPr>
              <w:t>1、了解内地西藏初中校的学生理科素养现状</w:t>
            </w:r>
          </w:p>
          <w:p>
            <w:pPr>
              <w:spacing w:line="500" w:lineRule="exact"/>
              <w:ind w:firstLine="560" w:firstLineChars="200"/>
              <w:rPr>
                <w:rFonts w:ascii="宋体"/>
                <w:sz w:val="28"/>
              </w:rPr>
            </w:pPr>
            <w:r>
              <w:rPr>
                <w:rFonts w:hint="eastAsia" w:ascii="宋体"/>
                <w:sz w:val="28"/>
              </w:rPr>
              <w:t>由于内地西藏初中校的学生都来自西藏，虽然进内地西藏初中校时进行了层层选拔，但是由于西藏的历史、地理等原因，导致现在基础教育还落后内地，他们的理科素养的现状是怎样的，有待我们去调研，通过调研后，我们得出结论，才能有的放矢进行提升。</w:t>
            </w:r>
          </w:p>
          <w:p>
            <w:pPr>
              <w:spacing w:line="500" w:lineRule="exact"/>
              <w:ind w:firstLine="560" w:firstLineChars="200"/>
              <w:rPr>
                <w:rFonts w:ascii="宋体"/>
                <w:sz w:val="28"/>
              </w:rPr>
            </w:pPr>
            <w:r>
              <w:rPr>
                <w:rFonts w:hint="eastAsia" w:ascii="宋体"/>
                <w:sz w:val="28"/>
              </w:rPr>
              <w:t>2、微课在内地西藏初中校理科教学中的优势</w:t>
            </w:r>
          </w:p>
          <w:p>
            <w:pPr>
              <w:spacing w:line="500" w:lineRule="exact"/>
              <w:ind w:firstLine="560" w:firstLineChars="200"/>
              <w:rPr>
                <w:rFonts w:ascii="宋体"/>
                <w:sz w:val="28"/>
              </w:rPr>
            </w:pPr>
            <w:r>
              <w:rPr>
                <w:rFonts w:hint="eastAsia" w:ascii="宋体"/>
                <w:sz w:val="28"/>
              </w:rPr>
              <w:t>微课在教学中的一些优势显而易见的，如：可重复性，微观世界再现等，除了上面的这些优势之外，结合内地西藏初中校的理科教学，微课还有哪些优势，我们需要调查，找到相关优势，并利用其优势用于提高学生理科素养。</w:t>
            </w:r>
          </w:p>
          <w:p>
            <w:pPr>
              <w:spacing w:line="500" w:lineRule="exact"/>
              <w:ind w:firstLine="560" w:firstLineChars="200"/>
              <w:rPr>
                <w:rFonts w:ascii="宋体"/>
                <w:sz w:val="28"/>
              </w:rPr>
            </w:pPr>
            <w:r>
              <w:rPr>
                <w:rFonts w:hint="eastAsia" w:ascii="宋体"/>
                <w:sz w:val="28"/>
              </w:rPr>
              <w:t>3、微课在教学中如何提高学生的理科素养</w:t>
            </w:r>
          </w:p>
          <w:p>
            <w:pPr>
              <w:spacing w:line="500" w:lineRule="exact"/>
              <w:ind w:firstLine="560" w:firstLineChars="200"/>
              <w:rPr>
                <w:rFonts w:ascii="宋体"/>
                <w:sz w:val="28"/>
              </w:rPr>
            </w:pPr>
            <w:r>
              <w:rPr>
                <w:rFonts w:hint="eastAsia" w:ascii="宋体"/>
                <w:sz w:val="28"/>
              </w:rPr>
              <w:t>通过调查找到了微课在理科中的优势，在理科教学中，如何利用微课优势来提高学生的理科素养，并找到合适的方法。</w:t>
            </w:r>
          </w:p>
          <w:p>
            <w:pPr>
              <w:spacing w:line="500" w:lineRule="exact"/>
              <w:ind w:firstLine="560" w:firstLineChars="200"/>
              <w:rPr>
                <w:rFonts w:ascii="宋体"/>
                <w:sz w:val="28"/>
              </w:rPr>
            </w:pPr>
            <w:r>
              <w:rPr>
                <w:rFonts w:hint="eastAsia" w:ascii="宋体"/>
                <w:sz w:val="28"/>
              </w:rPr>
              <w:t>4、提高理科老师的信息技术水平</w:t>
            </w:r>
          </w:p>
          <w:p>
            <w:pPr>
              <w:spacing w:line="500" w:lineRule="exact"/>
              <w:ind w:firstLine="560" w:firstLineChars="200"/>
              <w:rPr>
                <w:rFonts w:ascii="宋体"/>
                <w:sz w:val="28"/>
              </w:rPr>
            </w:pPr>
            <w:r>
              <w:rPr>
                <w:rFonts w:hint="eastAsia" w:ascii="宋体"/>
                <w:sz w:val="28"/>
              </w:rPr>
              <w:t>通过微课的制作，让参与课题的老师能够从不会制作微课到能够熟练的制作微课。这样，能够提高老师的素材选择能力，素材加工能和与之相关审美能力等。</w:t>
            </w:r>
          </w:p>
          <w:p>
            <w:pPr>
              <w:spacing w:line="500" w:lineRule="exact"/>
              <w:ind w:firstLine="560" w:firstLineChars="200"/>
              <w:rPr>
                <w:rFonts w:ascii="宋体"/>
                <w:sz w:val="28"/>
              </w:rPr>
            </w:pPr>
            <w:r>
              <w:rPr>
                <w:rFonts w:hint="eastAsia" w:ascii="宋体"/>
                <w:sz w:val="28"/>
              </w:rPr>
              <w:t>二、课题核心概念的再理解</w:t>
            </w:r>
          </w:p>
          <w:p>
            <w:pPr>
              <w:spacing w:line="500" w:lineRule="exact"/>
              <w:ind w:firstLine="560" w:firstLineChars="200"/>
              <w:rPr>
                <w:rFonts w:ascii="宋体"/>
                <w:sz w:val="28"/>
              </w:rPr>
            </w:pPr>
            <w:r>
              <w:rPr>
                <w:rFonts w:hint="eastAsia" w:ascii="宋体"/>
                <w:sz w:val="28"/>
              </w:rPr>
              <w:t xml:space="preserve">内地西藏校：为了体现党中央、国务院对西藏及藏民族的高度重视，我国政府于1985年起在部分经济发达省市开办内地西藏班，利用内地的办学优势，为西藏培养自觉维护祖国统一、民族团结，具有较高科学文化知识和劳动技能的人才。内地西藏班包括初中班、高中班和各类大、中专班，有些省市采取单独建校承担人才培养任务的形式，称为内地西藏校。内地西藏班（校）打破了西藏区内办学的封闭教育体制，体现了党和国家对藏民族教育事业的关心和人才培养的关注。内地西藏校已经成为民族团结的窗口，民族交往的窗口，促进了藏民族独特文化与内地各民族文化的交流。 </w:t>
            </w:r>
          </w:p>
          <w:p>
            <w:pPr>
              <w:spacing w:line="500" w:lineRule="exact"/>
              <w:ind w:firstLine="560" w:firstLineChars="200"/>
              <w:rPr>
                <w:rFonts w:ascii="宋体"/>
                <w:sz w:val="28"/>
              </w:rPr>
            </w:pPr>
            <w:r>
              <w:rPr>
                <w:rFonts w:hint="eastAsia" w:ascii="宋体"/>
                <w:sz w:val="28"/>
              </w:rPr>
              <w:t>和美教育：“和美”理念源自中国传统的儒家思想及国外优秀的教育思想。“和”的含义来自“和而不同”。“和而不同”出自《论语•子路》，“君子和而不同，小人同而不和”。这里所提到的“和”是中华传统文化中一个非常重要的概念，它指的是一种有差别的、多样性的统一。“美”既是一种抽象的概念，也是一种具体的感受。苏霍姆林斯基指出：“我认为整个教育体系的重要目的就是：使学校教会人在美的世界中生活，使他离开美就不能生活，使美的世界能在人的身上创造美。”“和美教育”这一提法在基础教育界经常被使用，但尚缺乏明确的定义。</w:t>
            </w:r>
          </w:p>
          <w:p>
            <w:pPr>
              <w:spacing w:line="500" w:lineRule="exact"/>
              <w:ind w:firstLine="560" w:firstLineChars="200"/>
              <w:rPr>
                <w:rFonts w:ascii="宋体"/>
                <w:sz w:val="28"/>
              </w:rPr>
            </w:pPr>
            <w:r>
              <w:rPr>
                <w:rFonts w:hint="eastAsia" w:ascii="宋体"/>
                <w:sz w:val="28"/>
              </w:rPr>
              <w:t>本研究所指的“和美教育”是基于对内地西藏初中校的教育现状的思考提出的。由于地域差异和不同民族之间存在文化差异，在汉族文化背景下，学生入学后存在文化的融入、对不同民族文化和生活习俗的接纳的问题；远离家乡和父母，会出现暂时的情感空白，需要引导和关怀；师生之间情感的交融、家校联系也都存在文化融合的问题。除此之外，由于民族的差异和经济文化发展水平的差异，民族班学生的国家认同感的教育，良好的现代公民意识的形成都值得深入研究。在上述思考的基础上，我们提出了“和美教育”的构想。</w:t>
            </w:r>
          </w:p>
          <w:p>
            <w:pPr>
              <w:spacing w:line="500" w:lineRule="exact"/>
              <w:ind w:firstLine="560" w:firstLineChars="200"/>
              <w:rPr>
                <w:rFonts w:ascii="宋体"/>
                <w:sz w:val="28"/>
              </w:rPr>
            </w:pPr>
            <w:r>
              <w:rPr>
                <w:rFonts w:hint="eastAsia" w:ascii="宋体"/>
                <w:sz w:val="28"/>
              </w:rPr>
              <w:t>理科素养：理科素养包括以下四个方面：1.逻辑思维能力，是指正确、合理思考的能力。即对事物进行观察、比较、分析、综合、抽象、概括、判断、推理的能力，采用科学的逻辑方法，准确而有条理地表达自己思维过程的能力；2.计算能力，就是指数学上的归纳和转化的能力，即把抽象的、复杂的数学表达式或数字通过数学方法转换为我们可以理解的数学式子的能力；3.探究能力，是求索知识或信息，特别是求真的活动能力；是搜寻、研究、调查、检验的活动能力；是提问和质疑的活动能力；4，实验能力，包含着理论思维、科学观察和操作三个方面的因素，这三个方面因素是密切相关的， 由这三方面因素的有机统一综合成为实验能力。</w:t>
            </w:r>
          </w:p>
          <w:p>
            <w:pPr>
              <w:spacing w:line="500" w:lineRule="exact"/>
              <w:ind w:firstLine="560" w:firstLineChars="200"/>
              <w:rPr>
                <w:rFonts w:ascii="宋体"/>
                <w:sz w:val="28"/>
              </w:rPr>
            </w:pPr>
            <w:r>
              <w:rPr>
                <w:rFonts w:hint="eastAsia" w:ascii="宋体"/>
                <w:sz w:val="28"/>
              </w:rPr>
              <w:t>本课题中的理科，是指数学科目、物理科目、化学科目以及生物科目。</w:t>
            </w:r>
          </w:p>
          <w:p>
            <w:pPr>
              <w:spacing w:line="500" w:lineRule="exact"/>
              <w:ind w:firstLine="560" w:firstLineChars="200"/>
              <w:rPr>
                <w:rFonts w:ascii="宋体"/>
                <w:sz w:val="28"/>
              </w:rPr>
            </w:pPr>
            <w:r>
              <w:rPr>
                <w:rFonts w:hint="eastAsia" w:ascii="宋体"/>
                <w:sz w:val="28"/>
              </w:rPr>
              <w:t>本课题中的各科的素养与能力在课题老师的调研下，通过多年的工作实践经验、西藏教育的实际情况以及影响内地西藏初中校学生发展的理科相关情况而列出，具体各科目的能力如下：</w:t>
            </w:r>
          </w:p>
          <w:p>
            <w:pPr>
              <w:spacing w:line="500" w:lineRule="exact"/>
              <w:rPr>
                <w:rFonts w:ascii="宋体"/>
                <w:sz w:val="28"/>
              </w:rPr>
            </w:pPr>
            <w:r>
              <w:rPr>
                <w:rFonts w:hint="eastAsia" w:ascii="宋体"/>
                <w:sz w:val="28"/>
              </w:rPr>
              <w:t>数学科目包含以下七种能力：计算能力、数学抽象与直观想象能力、逻辑推理能力、数学建模能力、数形结合能力、类比能力、方程思想运用能力。</w:t>
            </w:r>
          </w:p>
          <w:p>
            <w:pPr>
              <w:spacing w:line="500" w:lineRule="exact"/>
              <w:ind w:firstLine="560" w:firstLineChars="200"/>
              <w:rPr>
                <w:rFonts w:ascii="宋体"/>
                <w:sz w:val="28"/>
              </w:rPr>
            </w:pPr>
            <w:r>
              <w:rPr>
                <w:rFonts w:hint="eastAsia" w:ascii="宋体"/>
                <w:sz w:val="28"/>
              </w:rPr>
              <w:t>化学科目包含以下六种能力：计算能力、化学规律应用能力、实验操作能力、微观粒子模型应用能力、观察猜想能力和获取有效信息能力、实验方案设计能力。</w:t>
            </w:r>
          </w:p>
          <w:p>
            <w:pPr>
              <w:spacing w:line="500" w:lineRule="exact"/>
              <w:ind w:firstLine="560" w:firstLineChars="200"/>
              <w:rPr>
                <w:rFonts w:ascii="宋体"/>
                <w:sz w:val="28"/>
              </w:rPr>
            </w:pPr>
            <w:r>
              <w:rPr>
                <w:rFonts w:hint="eastAsia" w:ascii="宋体"/>
                <w:sz w:val="28"/>
              </w:rPr>
              <w:t>物理科目包含以下六种能力：计算能力、概念理解能力、图像处理能力、实验操作能力、物理量数据处理能力、数形结合能力</w:t>
            </w:r>
          </w:p>
          <w:p>
            <w:pPr>
              <w:spacing w:line="500" w:lineRule="exact"/>
              <w:ind w:firstLine="560" w:firstLineChars="200"/>
              <w:rPr>
                <w:rFonts w:ascii="宋体"/>
                <w:sz w:val="28"/>
              </w:rPr>
            </w:pPr>
            <w:r>
              <w:rPr>
                <w:rFonts w:hint="eastAsia" w:ascii="宋体"/>
                <w:sz w:val="28"/>
              </w:rPr>
              <w:t>生物科目包含以下五种能力：观察能力、科学思维能力、实验设计能力、创新能力、应用能力</w:t>
            </w:r>
          </w:p>
          <w:p>
            <w:pPr>
              <w:spacing w:line="500" w:lineRule="exact"/>
              <w:ind w:firstLine="560" w:firstLineChars="200"/>
              <w:rPr>
                <w:rFonts w:ascii="宋体"/>
                <w:sz w:val="28"/>
              </w:rPr>
            </w:pPr>
            <w:r>
              <w:rPr>
                <w:rFonts w:hint="eastAsia" w:ascii="宋体"/>
                <w:sz w:val="28"/>
              </w:rPr>
              <w:t>微课：微课是指运用信息技术按照认知规律，呈现碎片化学习内容、过程及扩展素材的结构化数字资源。“微课”的核心组成内容是课堂教学视频（课例片段），同时还包含与该教学主题相关的教学设计、素材课件、教学反思、练习测试及学生反馈、教师点评等辅助性教学资源，它们以一定的组织关系和呈现方式共同“营造”了一个半结构化、主题式的资源单元应用“小环境”。微课只讲授一两个知识点，没有复杂的课程体系，也没有众多的教学目标与教学对象，看似没有系统性和全面性，许多人称之为“碎片化”。但是微课是针对特定的目标人群、传递特定的知识内容的，一个微课自身仍然需要系统性，一组微课所表达的知识仍然需要全面性。一节微课作品一般只对应于某一种微课类型，但也可以同时属于二种或二种以上的微课类型的组合（如提问讲授类、合作探究类等），其分类不是唯一的，应该保留一定的开放性。</w:t>
            </w:r>
          </w:p>
          <w:p>
            <w:pPr>
              <w:spacing w:line="500" w:lineRule="exact"/>
              <w:ind w:firstLine="560" w:firstLineChars="200"/>
              <w:rPr>
                <w:rFonts w:ascii="宋体"/>
                <w:sz w:val="28"/>
              </w:rPr>
            </w:pPr>
            <w:r>
              <w:rPr>
                <w:rFonts w:hint="eastAsia" w:ascii="宋体"/>
                <w:sz w:val="28"/>
              </w:rPr>
              <w:t>三、课题研究的目标与内容</w:t>
            </w:r>
          </w:p>
          <w:p>
            <w:pPr>
              <w:spacing w:line="500" w:lineRule="exact"/>
              <w:rPr>
                <w:rFonts w:ascii="宋体"/>
                <w:sz w:val="28"/>
              </w:rPr>
            </w:pPr>
            <w:r>
              <w:rPr>
                <w:rFonts w:hint="eastAsia" w:ascii="宋体"/>
                <w:sz w:val="28"/>
              </w:rPr>
              <w:t xml:space="preserve">   （一）研究的目标</w:t>
            </w:r>
          </w:p>
          <w:p>
            <w:pPr>
              <w:spacing w:line="500" w:lineRule="exact"/>
              <w:ind w:firstLine="560" w:firstLineChars="200"/>
              <w:rPr>
                <w:rFonts w:ascii="宋体"/>
                <w:sz w:val="28"/>
              </w:rPr>
            </w:pPr>
            <w:r>
              <w:rPr>
                <w:rFonts w:hint="eastAsia" w:ascii="宋体"/>
                <w:sz w:val="28"/>
              </w:rPr>
              <w:t>1、在课程和教学方面，推动课程改革、课堂变革、教师成长，促进整个教学管理模式的转变，进一步提高内地西藏班的教育管理水平，提升内地西藏班办学效果。在宏观管理方面，发挥内地西藏班在西藏教育中的辐射作用和在国家民族政策中的窗口作用。在和美课堂中，通过微课等形式的加入，改变内地西藏初中校传统的理科教学模式。</w:t>
            </w:r>
          </w:p>
          <w:p>
            <w:pPr>
              <w:spacing w:line="500" w:lineRule="exact"/>
              <w:ind w:firstLine="560" w:firstLineChars="200"/>
              <w:rPr>
                <w:rFonts w:ascii="宋体"/>
                <w:sz w:val="28"/>
              </w:rPr>
            </w:pPr>
            <w:r>
              <w:rPr>
                <w:rFonts w:hint="eastAsia" w:ascii="宋体"/>
                <w:sz w:val="28"/>
              </w:rPr>
              <w:t>2.寻找在和美课堂中内地西藏初中校利用微课提高学生理科素养的方法。</w:t>
            </w:r>
          </w:p>
          <w:p>
            <w:pPr>
              <w:spacing w:line="500" w:lineRule="exact"/>
              <w:ind w:firstLine="560" w:firstLineChars="200"/>
              <w:rPr>
                <w:rFonts w:ascii="宋体"/>
                <w:sz w:val="28"/>
              </w:rPr>
            </w:pPr>
            <w:r>
              <w:rPr>
                <w:rFonts w:hint="eastAsia" w:ascii="宋体"/>
                <w:sz w:val="28"/>
              </w:rPr>
              <w:t>3.生成课题研究的行动效果，即：能够在课题研究的过程中，促进教师应用信息技术能力的提高。</w:t>
            </w:r>
          </w:p>
          <w:p>
            <w:pPr>
              <w:spacing w:line="500" w:lineRule="exact"/>
              <w:ind w:firstLine="560" w:firstLineChars="200"/>
              <w:rPr>
                <w:rFonts w:ascii="宋体"/>
                <w:sz w:val="28"/>
              </w:rPr>
            </w:pPr>
            <w:r>
              <w:rPr>
                <w:rFonts w:hint="eastAsia" w:ascii="宋体"/>
                <w:sz w:val="28"/>
              </w:rPr>
              <w:t>（二）研究内容</w:t>
            </w:r>
          </w:p>
          <w:p>
            <w:pPr>
              <w:spacing w:line="500" w:lineRule="exact"/>
              <w:ind w:firstLine="560" w:firstLineChars="200"/>
              <w:rPr>
                <w:rFonts w:ascii="宋体"/>
                <w:sz w:val="28"/>
              </w:rPr>
            </w:pPr>
            <w:r>
              <w:rPr>
                <w:rFonts w:hint="eastAsia" w:ascii="宋体"/>
                <w:sz w:val="28"/>
              </w:rPr>
              <w:t>1、内地西藏初中校学生理科素养现状调查及情况分析</w:t>
            </w:r>
          </w:p>
          <w:p>
            <w:pPr>
              <w:spacing w:line="500" w:lineRule="exact"/>
              <w:ind w:firstLine="560" w:firstLineChars="200"/>
              <w:rPr>
                <w:rFonts w:ascii="宋体"/>
                <w:sz w:val="28"/>
              </w:rPr>
            </w:pPr>
            <w:r>
              <w:rPr>
                <w:rFonts w:hint="eastAsia" w:ascii="宋体"/>
                <w:sz w:val="28"/>
              </w:rPr>
              <w:t>内地西藏初中校学生的理科素养处于什么样的层次呢？由于各校所在市的理科教学的要求可能一些细微的不同、西藏自治区的要求较简单，导致内地西藏班初中校的学生的理科素养层次各不相同。对应理科四门功课来说，理科素养中的四个素养要素哪些需要提高，我们还不知道。想要得到内地西藏初中校的学生理科素状的层次，我们必须通过调查、访谈以及相关数据整理，才能清楚。我们拟选取本校以及全国相对来说教学质量较高的内地西藏初中校的学生进行相关的调查，并进行数据分析，得到内地西藏初中校的学生的理科素养的现有状态，同时对应四门学科，具体到哪些素养需要提升。</w:t>
            </w:r>
          </w:p>
          <w:p>
            <w:pPr>
              <w:spacing w:line="500" w:lineRule="exact"/>
              <w:ind w:firstLine="560" w:firstLineChars="200"/>
              <w:rPr>
                <w:rFonts w:ascii="宋体"/>
                <w:sz w:val="28"/>
              </w:rPr>
            </w:pPr>
            <w:r>
              <w:rPr>
                <w:rFonts w:hint="eastAsia" w:ascii="宋体"/>
                <w:sz w:val="28"/>
              </w:rPr>
              <w:t>2、微课在内地西藏初中校理科教学中的优势分析</w:t>
            </w:r>
          </w:p>
          <w:p>
            <w:pPr>
              <w:spacing w:line="500" w:lineRule="exact"/>
              <w:ind w:firstLine="560" w:firstLineChars="200"/>
              <w:rPr>
                <w:rFonts w:ascii="宋体"/>
                <w:sz w:val="28"/>
              </w:rPr>
            </w:pPr>
            <w:r>
              <w:rPr>
                <w:rFonts w:hint="eastAsia" w:ascii="宋体"/>
                <w:sz w:val="28"/>
              </w:rPr>
              <w:t>由于内地西藏初中校理科教学是用汉语进行授课，在听课中，存在汉语与藏语互译的过程，在互译时，难免有许多错误的地方，并且学生课堂理解和反应的速度较慢，给老师的感觉是藏族学生记忆力差、基础差，其实是语言差异和隔阂造成的学习障碍。由于上述原因，教师在讲一些复杂的例题时必须反复的进行讲解，而微课的优势就在于可以不断重复播放。此外，由于学生长年住校，“四点一线”的生活让学生和普通的日常生活脱节太大，缺乏丰富多彩的生活体验，很多课本上的知识学生都没有在日常生活中有对应的体验、感受，而微课可以把日常生活与理科所学的书本知识联系起来，通过视频的方式呈现给学生。微课还有时间短、使用设备要求不高，只要有一个普通的终端，就可以使用等，除了微课有上面的优势外，微课在理科教学中还有哪些优势，需要我们通过不断的使用与摸索，并进行优势分析。</w:t>
            </w:r>
          </w:p>
          <w:p>
            <w:pPr>
              <w:spacing w:line="500" w:lineRule="exact"/>
              <w:ind w:firstLine="560" w:firstLineChars="200"/>
              <w:rPr>
                <w:rFonts w:ascii="宋体"/>
                <w:sz w:val="28"/>
              </w:rPr>
            </w:pPr>
            <w:r>
              <w:rPr>
                <w:rFonts w:hint="eastAsia" w:ascii="宋体"/>
                <w:sz w:val="28"/>
              </w:rPr>
              <w:t>3、 “和美课堂”理科教学中，利用微课如何提高理科素养的研究</w:t>
            </w:r>
          </w:p>
          <w:p>
            <w:pPr>
              <w:spacing w:line="500" w:lineRule="exact"/>
              <w:ind w:firstLine="560" w:firstLineChars="200"/>
              <w:rPr>
                <w:rFonts w:ascii="宋体"/>
                <w:sz w:val="28"/>
              </w:rPr>
            </w:pPr>
            <w:r>
              <w:rPr>
                <w:rFonts w:hint="eastAsia" w:ascii="宋体"/>
                <w:sz w:val="28"/>
              </w:rPr>
              <w:t>首先，集中在和美课堂理科教学中使用的微课，根据它们对学生理科素养发展的各个要素点进行归类：思考哪些微课是可以提高逻辑思维能力，哪些可以提高计算能力，哪些可以提高探究能力，哪些可以提高实验能力。在此基础上，通过课后检测与问卷调查，挑选成功的课堂案例，找出提高学生理科素养各个要点的合理课堂模式，结合相关专家的理论研究和教师的课后反思加以分析与探究。</w:t>
            </w:r>
          </w:p>
          <w:p>
            <w:pPr>
              <w:spacing w:line="500" w:lineRule="exact"/>
              <w:ind w:firstLine="560" w:firstLineChars="200"/>
              <w:rPr>
                <w:rFonts w:ascii="宋体"/>
                <w:sz w:val="28"/>
              </w:rPr>
            </w:pPr>
            <w:r>
              <w:rPr>
                <w:rFonts w:hint="eastAsia" w:ascii="宋体"/>
                <w:sz w:val="28"/>
              </w:rPr>
              <w:t>四、课题研究的主要过程与方法</w:t>
            </w:r>
          </w:p>
          <w:p>
            <w:pPr>
              <w:spacing w:line="500" w:lineRule="exact"/>
              <w:ind w:firstLine="560" w:firstLineChars="200"/>
              <w:rPr>
                <w:rFonts w:ascii="宋体"/>
                <w:sz w:val="28"/>
              </w:rPr>
            </w:pPr>
            <w:r>
              <w:rPr>
                <w:rFonts w:hint="eastAsia" w:ascii="宋体"/>
                <w:sz w:val="28"/>
              </w:rPr>
              <w:t>课题的启动与顶层设计阶段（2018年1月-2018年4月）。主要任务包括：一是课题组进行相关研究文献的梳理；二是积极对课题组成员进行培训，1.微课制作的方法进行培训，使课题组成员能够熟练的进行微课制作。2.对成员进行课题研究方面的培训，使大家能够知道做课题的流程；三是聘请专家对课题进行指导，对学校学生理科素养现状进行全面的诊断和梳理，并在专家指导下通过反复座谈、论证和修改，确立了课题研究的整体规划，同时向此方面的专家进行咨询，获得有关理论和方向的指导。</w:t>
            </w:r>
          </w:p>
          <w:p>
            <w:pPr>
              <w:spacing w:line="500" w:lineRule="exact"/>
              <w:ind w:firstLine="560" w:firstLineChars="200"/>
              <w:rPr>
                <w:rFonts w:ascii="宋体"/>
                <w:sz w:val="28"/>
              </w:rPr>
            </w:pPr>
            <w:r>
              <w:rPr>
                <w:rFonts w:hint="eastAsia" w:ascii="宋体"/>
                <w:sz w:val="28"/>
              </w:rPr>
              <w:t>整体推进的实施阶段（2018年5月-2019年10月）。主要任务包括：一是通过问卷对内地西藏初中校理科教学中使用微课的现状进行调查；二是通过问卷对内地西藏初中校的学生理科素养以及学习基本情况进行问题调查；三是进行数据分析；四是开发出与调查结果相一致的微课，并将微课用于教学，如平时的课堂教学、校本展示课、校际课以及对外展示课、课后单独辅导等，同时定期开展研讨，并通过专家的讲座与指引，积极寻找微课如何提高理科素养的模式，同时对此进行教学效果分析。</w:t>
            </w:r>
          </w:p>
          <w:p>
            <w:pPr>
              <w:spacing w:line="500" w:lineRule="exact"/>
              <w:ind w:firstLine="560" w:firstLineChars="200"/>
              <w:rPr>
                <w:rFonts w:ascii="宋体"/>
                <w:sz w:val="28"/>
              </w:rPr>
            </w:pPr>
            <w:r>
              <w:rPr>
                <w:rFonts w:hint="eastAsia" w:ascii="宋体"/>
                <w:sz w:val="28"/>
              </w:rPr>
              <w:t>课题总结、成果推广阶段（2019年11月-12月）。主要任务：一是在实践研究的基础上总结反思，提炼理论要点和策略，完成课题结题工作。二是成果梳理、推广，提升课题研究成果的影响力和辐射面。</w:t>
            </w:r>
          </w:p>
          <w:p>
            <w:pPr>
              <w:spacing w:line="500" w:lineRule="exact"/>
              <w:ind w:firstLine="560" w:firstLineChars="200"/>
              <w:rPr>
                <w:rFonts w:ascii="宋体"/>
                <w:sz w:val="28"/>
              </w:rPr>
            </w:pPr>
            <w:r>
              <w:rPr>
                <w:rFonts w:hint="eastAsia" w:ascii="宋体"/>
                <w:sz w:val="28"/>
              </w:rPr>
              <w:t>需要说明的是，上述研究阶段之间都是彼此交叉、相辅相成的，所谓阶段划分只是一种大致区分与侧重表述。</w:t>
            </w:r>
          </w:p>
          <w:p>
            <w:pPr>
              <w:spacing w:line="500" w:lineRule="exact"/>
              <w:ind w:firstLine="560" w:firstLineChars="200"/>
              <w:rPr>
                <w:rFonts w:ascii="宋体"/>
                <w:sz w:val="28"/>
              </w:rPr>
            </w:pPr>
            <w:r>
              <w:rPr>
                <w:rFonts w:hint="eastAsia" w:ascii="宋体"/>
                <w:sz w:val="28"/>
              </w:rPr>
              <w:t>五、课题研究的主要成果</w:t>
            </w:r>
          </w:p>
          <w:p>
            <w:pPr>
              <w:spacing w:line="500" w:lineRule="exact"/>
              <w:ind w:firstLine="560" w:firstLineChars="200"/>
              <w:rPr>
                <w:rFonts w:ascii="宋体"/>
                <w:sz w:val="28"/>
              </w:rPr>
            </w:pPr>
            <w:r>
              <w:rPr>
                <w:rFonts w:hint="eastAsia" w:ascii="宋体"/>
                <w:sz w:val="28"/>
              </w:rPr>
              <w:t>（一）国内外相关研究文献综述</w:t>
            </w:r>
          </w:p>
          <w:p>
            <w:pPr>
              <w:spacing w:line="500" w:lineRule="exact"/>
              <w:ind w:firstLine="560" w:firstLineChars="200"/>
              <w:rPr>
                <w:rFonts w:ascii="宋体"/>
                <w:sz w:val="28"/>
              </w:rPr>
            </w:pPr>
            <w:r>
              <w:rPr>
                <w:rFonts w:hint="eastAsia" w:ascii="宋体"/>
                <w:sz w:val="28"/>
              </w:rPr>
              <w:t>1.关于微课的研究：</w:t>
            </w:r>
          </w:p>
          <w:p>
            <w:pPr>
              <w:spacing w:line="500" w:lineRule="exact"/>
              <w:ind w:firstLine="560" w:firstLineChars="200"/>
              <w:rPr>
                <w:rFonts w:ascii="宋体"/>
                <w:sz w:val="28"/>
              </w:rPr>
            </w:pPr>
            <w:r>
              <w:rPr>
                <w:rFonts w:hint="eastAsia" w:ascii="宋体"/>
                <w:sz w:val="28"/>
              </w:rPr>
              <w:t>在中国知网中，用微课作为关键字，对文献类进行搜索，从2011年4条到2018年7315条，由此可以看出微课正越来越多的融整合到各行各业，特别是2014年，呈现出井喷式增长。具体的搜索数据如下表：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899"/>
              <w:gridCol w:w="899"/>
              <w:gridCol w:w="899"/>
              <w:gridCol w:w="899"/>
              <w:gridCol w:w="899"/>
              <w:gridCol w:w="899"/>
              <w:gridCol w:w="899"/>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Align w:val="center"/>
                </w:tcPr>
                <w:p>
                  <w:pPr>
                    <w:spacing w:line="500" w:lineRule="exact"/>
                    <w:ind w:firstLine="200"/>
                    <w:jc w:val="center"/>
                    <w:rPr>
                      <w:rFonts w:ascii="宋体" w:hAnsi="宋体"/>
                      <w:szCs w:val="21"/>
                    </w:rPr>
                  </w:pPr>
                  <w:r>
                    <w:rPr>
                      <w:rFonts w:hint="eastAsia" w:ascii="宋体" w:hAnsi="宋体"/>
                      <w:szCs w:val="21"/>
                    </w:rPr>
                    <w:t>时间</w:t>
                  </w:r>
                </w:p>
              </w:tc>
              <w:tc>
                <w:tcPr>
                  <w:tcW w:w="899" w:type="dxa"/>
                  <w:vAlign w:val="center"/>
                </w:tcPr>
                <w:p>
                  <w:pPr>
                    <w:spacing w:line="500" w:lineRule="exact"/>
                    <w:ind w:firstLine="200"/>
                    <w:jc w:val="center"/>
                    <w:rPr>
                      <w:rFonts w:ascii="宋体" w:hAnsi="宋体"/>
                      <w:szCs w:val="21"/>
                    </w:rPr>
                  </w:pPr>
                  <w:r>
                    <w:rPr>
                      <w:rFonts w:hint="eastAsia" w:ascii="宋体" w:hAnsi="宋体"/>
                      <w:szCs w:val="21"/>
                    </w:rPr>
                    <w:t>2011年</w:t>
                  </w:r>
                </w:p>
              </w:tc>
              <w:tc>
                <w:tcPr>
                  <w:tcW w:w="899" w:type="dxa"/>
                  <w:vAlign w:val="center"/>
                </w:tcPr>
                <w:p>
                  <w:pPr>
                    <w:spacing w:line="500" w:lineRule="exact"/>
                    <w:ind w:firstLine="200"/>
                    <w:jc w:val="center"/>
                    <w:rPr>
                      <w:rFonts w:ascii="宋体" w:hAnsi="宋体"/>
                      <w:szCs w:val="21"/>
                    </w:rPr>
                  </w:pPr>
                  <w:r>
                    <w:rPr>
                      <w:rFonts w:hint="eastAsia" w:ascii="宋体" w:hAnsi="宋体"/>
                      <w:szCs w:val="21"/>
                    </w:rPr>
                    <w:t>2012年</w:t>
                  </w:r>
                </w:p>
              </w:tc>
              <w:tc>
                <w:tcPr>
                  <w:tcW w:w="899" w:type="dxa"/>
                  <w:vAlign w:val="center"/>
                </w:tcPr>
                <w:p>
                  <w:pPr>
                    <w:spacing w:line="500" w:lineRule="exact"/>
                    <w:ind w:firstLine="200"/>
                    <w:jc w:val="center"/>
                    <w:rPr>
                      <w:rFonts w:ascii="宋体" w:hAnsi="宋体"/>
                      <w:szCs w:val="21"/>
                    </w:rPr>
                  </w:pPr>
                  <w:r>
                    <w:rPr>
                      <w:rFonts w:hint="eastAsia" w:ascii="宋体" w:hAnsi="宋体"/>
                      <w:szCs w:val="21"/>
                    </w:rPr>
                    <w:t>2013年</w:t>
                  </w:r>
                </w:p>
              </w:tc>
              <w:tc>
                <w:tcPr>
                  <w:tcW w:w="899" w:type="dxa"/>
                  <w:vAlign w:val="center"/>
                </w:tcPr>
                <w:p>
                  <w:pPr>
                    <w:spacing w:line="500" w:lineRule="exact"/>
                    <w:ind w:firstLine="200"/>
                    <w:jc w:val="center"/>
                    <w:rPr>
                      <w:rFonts w:ascii="宋体" w:hAnsi="宋体"/>
                      <w:szCs w:val="21"/>
                    </w:rPr>
                  </w:pPr>
                  <w:r>
                    <w:rPr>
                      <w:rFonts w:hint="eastAsia" w:ascii="宋体" w:hAnsi="宋体"/>
                      <w:szCs w:val="21"/>
                    </w:rPr>
                    <w:t>2014年</w:t>
                  </w:r>
                </w:p>
              </w:tc>
              <w:tc>
                <w:tcPr>
                  <w:tcW w:w="899" w:type="dxa"/>
                  <w:vAlign w:val="center"/>
                </w:tcPr>
                <w:p>
                  <w:pPr>
                    <w:spacing w:line="500" w:lineRule="exact"/>
                    <w:ind w:firstLine="200"/>
                    <w:jc w:val="center"/>
                    <w:rPr>
                      <w:rFonts w:ascii="宋体" w:hAnsi="宋体"/>
                      <w:szCs w:val="21"/>
                    </w:rPr>
                  </w:pPr>
                  <w:r>
                    <w:rPr>
                      <w:rFonts w:hint="eastAsia" w:ascii="宋体" w:hAnsi="宋体"/>
                      <w:szCs w:val="21"/>
                    </w:rPr>
                    <w:t>2015年</w:t>
                  </w:r>
                </w:p>
              </w:tc>
              <w:tc>
                <w:tcPr>
                  <w:tcW w:w="899" w:type="dxa"/>
                  <w:vAlign w:val="center"/>
                </w:tcPr>
                <w:p>
                  <w:pPr>
                    <w:spacing w:line="500" w:lineRule="exact"/>
                    <w:ind w:firstLine="200"/>
                    <w:jc w:val="center"/>
                    <w:rPr>
                      <w:rFonts w:ascii="宋体" w:hAnsi="宋体"/>
                      <w:szCs w:val="21"/>
                    </w:rPr>
                  </w:pPr>
                  <w:r>
                    <w:rPr>
                      <w:rFonts w:hint="eastAsia" w:ascii="宋体" w:hAnsi="宋体"/>
                      <w:szCs w:val="21"/>
                    </w:rPr>
                    <w:t>2016年</w:t>
                  </w:r>
                </w:p>
              </w:tc>
              <w:tc>
                <w:tcPr>
                  <w:tcW w:w="899" w:type="dxa"/>
                  <w:vAlign w:val="center"/>
                </w:tcPr>
                <w:p>
                  <w:pPr>
                    <w:spacing w:line="500" w:lineRule="exact"/>
                    <w:ind w:firstLine="200"/>
                    <w:jc w:val="center"/>
                    <w:rPr>
                      <w:rFonts w:ascii="宋体" w:hAnsi="宋体"/>
                      <w:szCs w:val="21"/>
                    </w:rPr>
                  </w:pPr>
                  <w:r>
                    <w:rPr>
                      <w:rFonts w:hint="eastAsia" w:ascii="宋体" w:hAnsi="宋体"/>
                      <w:szCs w:val="21"/>
                    </w:rPr>
                    <w:t>2017年</w:t>
                  </w:r>
                </w:p>
              </w:tc>
              <w:tc>
                <w:tcPr>
                  <w:tcW w:w="899" w:type="dxa"/>
                  <w:vAlign w:val="center"/>
                </w:tcPr>
                <w:p>
                  <w:pPr>
                    <w:spacing w:line="500" w:lineRule="exact"/>
                    <w:ind w:firstLine="200"/>
                    <w:jc w:val="center"/>
                    <w:rPr>
                      <w:rFonts w:ascii="宋体" w:hAnsi="宋体"/>
                      <w:szCs w:val="21"/>
                    </w:rPr>
                  </w:pPr>
                  <w:r>
                    <w:rPr>
                      <w:rFonts w:hint="eastAsia" w:ascii="宋体" w:hAnsi="宋体"/>
                      <w:szCs w:val="21"/>
                    </w:rPr>
                    <w:t>2018年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Align w:val="center"/>
                </w:tcPr>
                <w:p>
                  <w:pPr>
                    <w:spacing w:line="500" w:lineRule="exact"/>
                    <w:ind w:firstLine="200"/>
                    <w:jc w:val="center"/>
                    <w:rPr>
                      <w:rFonts w:ascii="宋体" w:hAnsi="宋体"/>
                      <w:szCs w:val="21"/>
                    </w:rPr>
                  </w:pPr>
                  <w:r>
                    <w:rPr>
                      <w:rFonts w:hint="eastAsia" w:ascii="宋体" w:hAnsi="宋体"/>
                      <w:szCs w:val="21"/>
                    </w:rPr>
                    <w:t>条数</w:t>
                  </w:r>
                </w:p>
              </w:tc>
              <w:tc>
                <w:tcPr>
                  <w:tcW w:w="899" w:type="dxa"/>
                  <w:vAlign w:val="center"/>
                </w:tcPr>
                <w:p>
                  <w:pPr>
                    <w:spacing w:line="500" w:lineRule="exact"/>
                    <w:ind w:firstLine="200"/>
                    <w:jc w:val="center"/>
                    <w:rPr>
                      <w:rFonts w:ascii="宋体" w:hAnsi="宋体"/>
                      <w:szCs w:val="21"/>
                    </w:rPr>
                  </w:pPr>
                  <w:r>
                    <w:rPr>
                      <w:rFonts w:hint="eastAsia" w:ascii="宋体" w:hAnsi="宋体"/>
                      <w:szCs w:val="21"/>
                    </w:rPr>
                    <w:t>4</w:t>
                  </w:r>
                </w:p>
              </w:tc>
              <w:tc>
                <w:tcPr>
                  <w:tcW w:w="899" w:type="dxa"/>
                  <w:vAlign w:val="center"/>
                </w:tcPr>
                <w:p>
                  <w:pPr>
                    <w:spacing w:line="500" w:lineRule="exact"/>
                    <w:ind w:firstLine="200"/>
                    <w:jc w:val="center"/>
                    <w:rPr>
                      <w:rFonts w:ascii="宋体" w:hAnsi="宋体"/>
                      <w:szCs w:val="21"/>
                    </w:rPr>
                  </w:pPr>
                  <w:r>
                    <w:rPr>
                      <w:rFonts w:hint="eastAsia" w:ascii="宋体" w:hAnsi="宋体"/>
                      <w:szCs w:val="21"/>
                    </w:rPr>
                    <w:t>7</w:t>
                  </w:r>
                </w:p>
              </w:tc>
              <w:tc>
                <w:tcPr>
                  <w:tcW w:w="899" w:type="dxa"/>
                  <w:vAlign w:val="center"/>
                </w:tcPr>
                <w:p>
                  <w:pPr>
                    <w:spacing w:line="500" w:lineRule="exact"/>
                    <w:ind w:firstLine="200"/>
                    <w:jc w:val="center"/>
                    <w:rPr>
                      <w:rFonts w:ascii="宋体" w:hAnsi="宋体"/>
                      <w:szCs w:val="21"/>
                    </w:rPr>
                  </w:pPr>
                  <w:r>
                    <w:rPr>
                      <w:rFonts w:hint="eastAsia" w:ascii="宋体" w:hAnsi="宋体"/>
                      <w:szCs w:val="21"/>
                    </w:rPr>
                    <w:t>156</w:t>
                  </w:r>
                </w:p>
              </w:tc>
              <w:tc>
                <w:tcPr>
                  <w:tcW w:w="899" w:type="dxa"/>
                  <w:vAlign w:val="center"/>
                </w:tcPr>
                <w:p>
                  <w:pPr>
                    <w:spacing w:line="500" w:lineRule="exact"/>
                    <w:ind w:firstLine="200"/>
                    <w:jc w:val="center"/>
                    <w:rPr>
                      <w:rFonts w:ascii="宋体" w:hAnsi="宋体"/>
                      <w:szCs w:val="21"/>
                    </w:rPr>
                  </w:pPr>
                  <w:r>
                    <w:rPr>
                      <w:rFonts w:hint="eastAsia" w:ascii="宋体" w:hAnsi="宋体"/>
                      <w:szCs w:val="21"/>
                    </w:rPr>
                    <w:t>1108</w:t>
                  </w:r>
                </w:p>
              </w:tc>
              <w:tc>
                <w:tcPr>
                  <w:tcW w:w="899" w:type="dxa"/>
                  <w:vAlign w:val="center"/>
                </w:tcPr>
                <w:p>
                  <w:pPr>
                    <w:spacing w:line="500" w:lineRule="exact"/>
                    <w:ind w:firstLine="200"/>
                    <w:jc w:val="center"/>
                    <w:rPr>
                      <w:rFonts w:ascii="宋体" w:hAnsi="宋体"/>
                      <w:szCs w:val="21"/>
                    </w:rPr>
                  </w:pPr>
                  <w:r>
                    <w:rPr>
                      <w:rFonts w:hint="eastAsia" w:ascii="宋体" w:hAnsi="宋体"/>
                      <w:szCs w:val="21"/>
                    </w:rPr>
                    <w:t>3633</w:t>
                  </w:r>
                </w:p>
              </w:tc>
              <w:tc>
                <w:tcPr>
                  <w:tcW w:w="899" w:type="dxa"/>
                  <w:vAlign w:val="center"/>
                </w:tcPr>
                <w:p>
                  <w:pPr>
                    <w:spacing w:line="500" w:lineRule="exact"/>
                    <w:ind w:firstLine="200"/>
                    <w:jc w:val="center"/>
                    <w:rPr>
                      <w:rFonts w:ascii="宋体" w:hAnsi="宋体"/>
                      <w:szCs w:val="21"/>
                    </w:rPr>
                  </w:pPr>
                  <w:r>
                    <w:rPr>
                      <w:rFonts w:hint="eastAsia" w:ascii="宋体" w:hAnsi="宋体"/>
                      <w:szCs w:val="21"/>
                    </w:rPr>
                    <w:t>6044</w:t>
                  </w:r>
                </w:p>
              </w:tc>
              <w:tc>
                <w:tcPr>
                  <w:tcW w:w="899" w:type="dxa"/>
                  <w:vAlign w:val="center"/>
                </w:tcPr>
                <w:p>
                  <w:pPr>
                    <w:spacing w:line="500" w:lineRule="exact"/>
                    <w:ind w:firstLine="200"/>
                    <w:jc w:val="center"/>
                    <w:rPr>
                      <w:rFonts w:ascii="宋体" w:hAnsi="宋体"/>
                      <w:szCs w:val="21"/>
                    </w:rPr>
                  </w:pPr>
                  <w:r>
                    <w:rPr>
                      <w:rFonts w:hint="eastAsia" w:ascii="宋体" w:hAnsi="宋体"/>
                      <w:szCs w:val="21"/>
                    </w:rPr>
                    <w:t>7135</w:t>
                  </w:r>
                </w:p>
              </w:tc>
              <w:tc>
                <w:tcPr>
                  <w:tcW w:w="899" w:type="dxa"/>
                  <w:vAlign w:val="center"/>
                </w:tcPr>
                <w:p>
                  <w:pPr>
                    <w:spacing w:line="500" w:lineRule="exact"/>
                    <w:ind w:firstLine="200"/>
                    <w:jc w:val="center"/>
                    <w:rPr>
                      <w:rFonts w:ascii="宋体" w:hAnsi="宋体"/>
                      <w:szCs w:val="21"/>
                    </w:rPr>
                  </w:pPr>
                  <w:r>
                    <w:rPr>
                      <w:rFonts w:hint="eastAsia" w:ascii="宋体" w:hAnsi="宋体"/>
                      <w:szCs w:val="21"/>
                    </w:rPr>
                    <w:t>7315</w:t>
                  </w:r>
                </w:p>
              </w:tc>
            </w:tr>
          </w:tbl>
          <w:p>
            <w:pPr>
              <w:spacing w:line="500" w:lineRule="exact"/>
              <w:ind w:firstLine="200"/>
              <w:rPr>
                <w:rFonts w:ascii="宋体"/>
                <w:sz w:val="28"/>
              </w:rPr>
            </w:pPr>
            <w:r>
              <w:rPr>
                <w:rFonts w:hint="eastAsia" w:ascii="宋体"/>
                <w:sz w:val="28"/>
              </w:rPr>
              <w:t>主要的研究内容分为以下几个方面：</w:t>
            </w:r>
          </w:p>
          <w:p>
            <w:pPr>
              <w:spacing w:line="500" w:lineRule="exact"/>
              <w:ind w:firstLine="200"/>
              <w:rPr>
                <w:rFonts w:ascii="宋体"/>
                <w:sz w:val="28"/>
              </w:rPr>
            </w:pPr>
            <w:r>
              <w:rPr>
                <w:rFonts w:hint="eastAsia" w:ascii="宋体"/>
                <w:sz w:val="28"/>
              </w:rPr>
              <w:t>（1）、基于微课的教学研究</w:t>
            </w:r>
          </w:p>
          <w:p>
            <w:pPr>
              <w:spacing w:line="500" w:lineRule="exact"/>
              <w:ind w:firstLine="560" w:firstLineChars="200"/>
              <w:rPr>
                <w:rFonts w:ascii="宋体"/>
                <w:sz w:val="28"/>
              </w:rPr>
            </w:pPr>
            <w:r>
              <w:rPr>
                <w:rFonts w:hint="eastAsia" w:ascii="宋体"/>
                <w:sz w:val="28"/>
              </w:rPr>
              <w:t>“互联网+”是利用信息技术以及互联网平台，实现互联网与传统行业的深度融合，创造新的发展生态，可以充分地发挥互联网在社会资源配置中的优化和集成作用，将互联网的创新成果用于提升创新力和生产力。</w:t>
            </w:r>
          </w:p>
          <w:p>
            <w:pPr>
              <w:spacing w:line="500" w:lineRule="exact"/>
              <w:ind w:firstLine="560" w:firstLineChars="200"/>
              <w:rPr>
                <w:rFonts w:ascii="宋体"/>
                <w:sz w:val="28"/>
              </w:rPr>
            </w:pPr>
            <w:r>
              <w:rPr>
                <w:rFonts w:hint="eastAsia" w:ascii="宋体"/>
                <w:sz w:val="28"/>
              </w:rPr>
              <w:t>国家《基础教育课程改革纲要(试行)》中明确提出：要大力推进信息技术在教学过程中的普遍应用，促进信息技术与学科课程的整合，逐步实现教学内容的呈现方式、学生的学习方式、教师的教学方式和师生互动方式的变革，充分发挥信息技术的优势，为学生的学习和发展提供丰富多彩的教育环境和有力的学习工具。</w:t>
            </w:r>
          </w:p>
          <w:p>
            <w:pPr>
              <w:spacing w:line="500" w:lineRule="exact"/>
              <w:ind w:firstLine="560" w:firstLineChars="200"/>
              <w:rPr>
                <w:rFonts w:ascii="宋体"/>
                <w:sz w:val="28"/>
              </w:rPr>
            </w:pPr>
            <w:r>
              <w:rPr>
                <w:rFonts w:hint="eastAsia" w:ascii="宋体"/>
                <w:sz w:val="28"/>
              </w:rPr>
              <w:t>微课是近年来新兴的教学方式，相关研究工作处于起步阶段。已有的研究往往处于一种理论化的构建，更多地探讨微课的概念与要求，很少涉及实际操作中的问题，相关的实际探索没有进一步展开，把现代化信息技术与一线教学实践相结合，即是教育教学改革的必然趋势，也是新课程改革的必然要求。</w:t>
            </w:r>
          </w:p>
          <w:p>
            <w:pPr>
              <w:spacing w:line="500" w:lineRule="exact"/>
              <w:ind w:firstLine="200"/>
              <w:rPr>
                <w:rFonts w:ascii="宋体"/>
                <w:sz w:val="28"/>
              </w:rPr>
            </w:pPr>
            <w:r>
              <w:rPr>
                <w:rFonts w:hint="eastAsia" w:ascii="宋体"/>
                <w:sz w:val="28"/>
              </w:rPr>
              <w:t xml:space="preserve">  （2）、基于微课的翻转课堂的研究</w:t>
            </w:r>
          </w:p>
          <w:p>
            <w:pPr>
              <w:spacing w:line="500" w:lineRule="exact"/>
              <w:ind w:firstLine="200"/>
              <w:rPr>
                <w:rFonts w:ascii="宋体"/>
                <w:sz w:val="28"/>
              </w:rPr>
            </w:pPr>
            <w:r>
              <w:rPr>
                <w:rFonts w:hint="eastAsia" w:ascii="宋体"/>
                <w:sz w:val="28"/>
              </w:rPr>
              <w:t xml:space="preserve">   胡铁生（2011）认为，微课是对某一知识点的讲解，时长往往会超过3 分钟，甚至长达十多分钟，这种微课在课堂上播放，难免占用太多时间，打乱正常教学计划。因此，构建基于微课的翻转课堂教学模式不失为一种有效途径。</w:t>
            </w:r>
          </w:p>
          <w:p>
            <w:pPr>
              <w:spacing w:line="500" w:lineRule="exact"/>
              <w:ind w:firstLine="560" w:firstLineChars="200"/>
              <w:rPr>
                <w:rFonts w:ascii="宋体"/>
                <w:sz w:val="28"/>
              </w:rPr>
            </w:pPr>
            <w:r>
              <w:rPr>
                <w:rFonts w:hint="eastAsia" w:ascii="宋体"/>
                <w:sz w:val="28"/>
              </w:rPr>
              <w:t>谢春苗（2014）认为：认真制作微视频，激发学习兴趣。一个好的微课视频， 必须要点清晰，生动形象，能够激发学生的学习兴趣，精心设计微课程环节，根据学生的特点制作微视频。高质量的微视频资源是课下学习效果的根本保证；布置学习任务，激发学习动力。为了督促学生自主学习，教师应要求学生在课下观看微视频学习之后，完成相关任务，并且课堂上进行检查；设计课堂活动，引导课堂教学过程。翻转课堂的课堂学习是知识吸收内化的过程，教师设计课堂活动，通过“汇报”、“答疑”、“讨论” 等形式进行， 使各个学生都能发挥所长，参与其中。在整个过程中，教师充当的是组织者和引导者的角色，应充分发挥职责，引导、管理、监督整个讨论或学习的过程，并进行阶段性的归纳和总结。</w:t>
            </w:r>
          </w:p>
          <w:p>
            <w:pPr>
              <w:spacing w:line="500" w:lineRule="exact"/>
              <w:ind w:firstLine="560" w:firstLineChars="200"/>
              <w:rPr>
                <w:rFonts w:ascii="宋体"/>
                <w:sz w:val="28"/>
              </w:rPr>
            </w:pPr>
            <w:r>
              <w:rPr>
                <w:rFonts w:hint="eastAsia" w:ascii="宋体"/>
                <w:sz w:val="28"/>
              </w:rPr>
              <w:t>昝瑶（2017）认为：基于微课的翻转课堂虽然在培养学生学习积极性和主动性、学生个人能力素养方面相对传统教学有很大的提高，相比千篇一律的传统教学对于学生有如磁石般吸引，但在笔者所在的城市全面实施仍有阻力，前进中需不断更新教学理念，加大教学设备投放，减轻学生课业负担，完善师生评价机制，目前更适合作为高效课堂教学的补充。</w:t>
            </w:r>
          </w:p>
          <w:p>
            <w:pPr>
              <w:spacing w:line="500" w:lineRule="exact"/>
              <w:ind w:firstLine="560" w:firstLineChars="200"/>
              <w:rPr>
                <w:rFonts w:ascii="宋体"/>
                <w:sz w:val="28"/>
              </w:rPr>
            </w:pPr>
            <w:r>
              <w:rPr>
                <w:rFonts w:hint="eastAsia" w:ascii="宋体"/>
                <w:sz w:val="28"/>
              </w:rPr>
              <w:t>2、关于理科素养的研究</w:t>
            </w:r>
          </w:p>
          <w:p>
            <w:pPr>
              <w:spacing w:line="500" w:lineRule="exact"/>
              <w:ind w:firstLine="560" w:firstLineChars="200"/>
              <w:rPr>
                <w:rFonts w:ascii="宋体"/>
                <w:sz w:val="28"/>
              </w:rPr>
            </w:pPr>
            <w:r>
              <w:rPr>
                <w:rFonts w:hint="eastAsia" w:ascii="宋体"/>
                <w:sz w:val="28"/>
              </w:rPr>
              <w:t>在中国知网中，用理科素养作为关键字，对文献类进行搜索，发现文章篇数为0，因为理科素养是一个大概念，对于与一篇论文来讲，可能有由于面太广而无从下笔，故这样的文章很少见。</w:t>
            </w:r>
          </w:p>
          <w:p>
            <w:pPr>
              <w:spacing w:line="500" w:lineRule="exact"/>
              <w:ind w:firstLine="560" w:firstLineChars="200"/>
              <w:rPr>
                <w:rFonts w:ascii="宋体"/>
                <w:sz w:val="28"/>
              </w:rPr>
            </w:pPr>
            <w:r>
              <w:rPr>
                <w:rFonts w:hint="eastAsia" w:ascii="宋体"/>
                <w:sz w:val="28"/>
              </w:rPr>
              <w:t>3、关于理科学科素养的研究</w:t>
            </w:r>
          </w:p>
          <w:p>
            <w:pPr>
              <w:spacing w:line="500" w:lineRule="exact"/>
              <w:ind w:firstLine="560" w:firstLineChars="200"/>
              <w:rPr>
                <w:rFonts w:ascii="宋体"/>
                <w:sz w:val="28"/>
              </w:rPr>
            </w:pPr>
            <w:r>
              <w:rPr>
                <w:rFonts w:hint="eastAsia" w:ascii="宋体"/>
                <w:sz w:val="28"/>
              </w:rPr>
              <w:t>（1）物理学科素养的研究</w:t>
            </w:r>
          </w:p>
          <w:p>
            <w:pPr>
              <w:spacing w:line="500" w:lineRule="exact"/>
              <w:ind w:firstLine="560" w:firstLineChars="200"/>
              <w:rPr>
                <w:rFonts w:ascii="宋体"/>
                <w:sz w:val="28"/>
              </w:rPr>
            </w:pPr>
            <w:r>
              <w:rPr>
                <w:rFonts w:hint="eastAsia" w:ascii="宋体"/>
                <w:sz w:val="28"/>
              </w:rPr>
              <w:t>在中国知网中，用物理学科素养作为关键字，对文献进行搜索，发现文章篇数为213篇。</w:t>
            </w:r>
          </w:p>
          <w:p>
            <w:pPr>
              <w:spacing w:line="500" w:lineRule="exact"/>
              <w:ind w:firstLine="560" w:firstLineChars="200"/>
              <w:rPr>
                <w:rFonts w:ascii="宋体"/>
                <w:sz w:val="28"/>
              </w:rPr>
            </w:pPr>
            <w:r>
              <w:rPr>
                <w:rFonts w:hint="eastAsia" w:ascii="宋体"/>
                <w:sz w:val="28"/>
              </w:rPr>
              <w:t>彭玉香（2016）认为，物理学是自然科学中的一门重要的基础学科。物理课程所习得的物理知识、物理思想方法及物理知识的应用等对学生的影响是科学素养的重要方面,提高中学生的物理学科素养可以在不久的将来提高全民族的科学素养。物理学科素养是指学生对物理知识的基本掌握、对物理研究过程和方法的基本理解,也包括对物理知识对个人和社会的影响的基本理解。</w:t>
            </w:r>
          </w:p>
          <w:p>
            <w:pPr>
              <w:spacing w:line="500" w:lineRule="exact"/>
              <w:ind w:firstLine="560" w:firstLineChars="200"/>
              <w:rPr>
                <w:rFonts w:ascii="宋体"/>
                <w:sz w:val="28"/>
              </w:rPr>
            </w:pPr>
            <w:r>
              <w:rPr>
                <w:rFonts w:hint="eastAsia" w:ascii="宋体"/>
                <w:sz w:val="28"/>
              </w:rPr>
              <w:t>刘白生（2018）认为，物理科学素养的培养关键是要使学生有正确的学习态度，良好的学习习惯，踏实的学习作风。老师在讲解物理概念和物理规律时，要思路清晰， 使学生理解其中的道理， 领会研究问题的方法； 要重视物理概念和物理规律的应用，使学生学会运用物理知识解释物理现象、独立分析和解决实际问题的能力，这样真正地打好基础才能谈上物理科学素养的全面提高。</w:t>
            </w:r>
          </w:p>
          <w:p>
            <w:pPr>
              <w:spacing w:line="500" w:lineRule="exact"/>
              <w:ind w:firstLine="560" w:firstLineChars="200"/>
              <w:rPr>
                <w:rFonts w:ascii="宋体"/>
                <w:sz w:val="28"/>
              </w:rPr>
            </w:pPr>
            <w:r>
              <w:rPr>
                <w:rFonts w:hint="eastAsia" w:ascii="宋体"/>
                <w:sz w:val="28"/>
              </w:rPr>
              <w:t>（2）数学学科素养的研究</w:t>
            </w:r>
          </w:p>
          <w:p>
            <w:pPr>
              <w:spacing w:line="500" w:lineRule="exact"/>
              <w:ind w:firstLine="560" w:firstLineChars="200"/>
              <w:rPr>
                <w:rFonts w:ascii="宋体"/>
                <w:sz w:val="28"/>
              </w:rPr>
            </w:pPr>
            <w:r>
              <w:rPr>
                <w:rFonts w:hint="eastAsia" w:ascii="宋体"/>
                <w:sz w:val="28"/>
              </w:rPr>
              <w:t>在中国知网中，用数学学科素养作为关键字，对文献进行搜索，发现文章篇数为75篇。</w:t>
            </w:r>
          </w:p>
          <w:p>
            <w:pPr>
              <w:spacing w:line="500" w:lineRule="exact"/>
              <w:ind w:firstLine="560" w:firstLineChars="200"/>
              <w:rPr>
                <w:rFonts w:ascii="宋体"/>
                <w:sz w:val="28"/>
              </w:rPr>
            </w:pPr>
            <w:r>
              <w:rPr>
                <w:rFonts w:hint="eastAsia" w:ascii="宋体"/>
                <w:sz w:val="28"/>
              </w:rPr>
              <w:t>曾荣（2016）认为，数学教学可以将研究性学习融入问题情境的创设之中、数学模型的建构之中、研究方法的探求之中、数学本质的揭示之中以及数学应用的过程之中，以帮助学生强化数学抽象的意识，提高数学建模的能力，形成科学探究的自觉，培养严谨推理的习惯， 提升问题解决的能力。</w:t>
            </w:r>
          </w:p>
          <w:p>
            <w:pPr>
              <w:spacing w:line="500" w:lineRule="exact"/>
              <w:ind w:firstLine="560" w:firstLineChars="200"/>
              <w:rPr>
                <w:rFonts w:ascii="宋体"/>
                <w:sz w:val="28"/>
              </w:rPr>
            </w:pPr>
            <w:r>
              <w:rPr>
                <w:rFonts w:hint="eastAsia" w:ascii="宋体"/>
                <w:sz w:val="28"/>
              </w:rPr>
              <w:t>李璐玮（2017）认为，数学学科素养包含数学抽象、逻辑推理、数学建模、数学运算、直观想象、数据分析六个方面。这六个方面的学科素养基本上适应了学生个人发展的需要，能够使学生在形成能力的同时，满足当下社会发展的需要，在高考中重点考查学生能够在不同情境下综合利用所学知识和技能处理复杂任务，具有扎实的科学观念和宽阔的学科视野，并体现出自身的实践能力、创新精神等内化的综合学科素养。</w:t>
            </w:r>
          </w:p>
          <w:p>
            <w:pPr>
              <w:spacing w:line="500" w:lineRule="exact"/>
              <w:ind w:firstLine="560" w:firstLineChars="200"/>
              <w:rPr>
                <w:rFonts w:ascii="宋体"/>
                <w:sz w:val="28"/>
              </w:rPr>
            </w:pPr>
            <w:r>
              <w:rPr>
                <w:rFonts w:hint="eastAsia" w:ascii="宋体"/>
                <w:sz w:val="28"/>
              </w:rPr>
              <w:t>（3）化学学科素养的研究</w:t>
            </w:r>
          </w:p>
          <w:p>
            <w:pPr>
              <w:spacing w:line="500" w:lineRule="exact"/>
              <w:ind w:firstLine="560" w:firstLineChars="200"/>
              <w:rPr>
                <w:rFonts w:ascii="宋体"/>
                <w:sz w:val="28"/>
              </w:rPr>
            </w:pPr>
            <w:r>
              <w:rPr>
                <w:rFonts w:hint="eastAsia" w:ascii="宋体"/>
                <w:sz w:val="28"/>
              </w:rPr>
              <w:t>在中国知网中，用化学学科素养作为关键字，对文献进行搜索，发现文章篇数为147篇。</w:t>
            </w:r>
          </w:p>
          <w:p>
            <w:pPr>
              <w:spacing w:line="500" w:lineRule="exact"/>
              <w:ind w:firstLine="560" w:firstLineChars="200"/>
              <w:rPr>
                <w:rFonts w:ascii="宋体"/>
                <w:sz w:val="28"/>
              </w:rPr>
            </w:pPr>
            <w:r>
              <w:rPr>
                <w:rFonts w:hint="eastAsia" w:ascii="宋体"/>
                <w:sz w:val="28"/>
              </w:rPr>
              <w:t>杨思薇（2013）化学实验是学生最喜欢的课堂环节，更是培养学生化学学科素养极其有效的环节。如何提高实验教学效果，发展学生实验能力，成为中学化学教学研究的热点之一。实验能力是由多种成分组成的一种综合能力，包括确定实验课题的能力、设计实验方案的能力、实验操作能力、实验观察与记录能力、实验思维能力和撰写实验报告的能力等，其核心是实验思维能力。</w:t>
            </w:r>
          </w:p>
          <w:p>
            <w:pPr>
              <w:spacing w:line="500" w:lineRule="exact"/>
              <w:ind w:firstLine="560" w:firstLineChars="200"/>
              <w:rPr>
                <w:rFonts w:ascii="宋体"/>
                <w:sz w:val="28"/>
              </w:rPr>
            </w:pPr>
            <w:r>
              <w:rPr>
                <w:rFonts w:hint="eastAsia" w:ascii="宋体"/>
                <w:sz w:val="28"/>
              </w:rPr>
              <w:t>黄郁郁（2017）认为，现在的教育要求我们必须以学生为主体，培养学生实际解决问题的能力，化学教育也是如此，我们不仅要教会学生化学知识， 更重要的是培养他们的化学科学素养，为祖国培养一流人才。</w:t>
            </w:r>
          </w:p>
          <w:p>
            <w:pPr>
              <w:spacing w:line="500" w:lineRule="exact"/>
              <w:ind w:firstLine="560" w:firstLineChars="200"/>
              <w:rPr>
                <w:rFonts w:ascii="宋体"/>
                <w:sz w:val="28"/>
              </w:rPr>
            </w:pPr>
            <w:r>
              <w:rPr>
                <w:rFonts w:hint="eastAsia" w:ascii="宋体"/>
                <w:sz w:val="28"/>
              </w:rPr>
              <w:t>（4）生物学科素养的研究</w:t>
            </w:r>
          </w:p>
          <w:p>
            <w:pPr>
              <w:spacing w:line="500" w:lineRule="exact"/>
              <w:ind w:firstLine="560" w:firstLineChars="200"/>
              <w:rPr>
                <w:rFonts w:ascii="宋体"/>
                <w:sz w:val="28"/>
              </w:rPr>
            </w:pPr>
            <w:r>
              <w:rPr>
                <w:rFonts w:hint="eastAsia" w:ascii="宋体"/>
                <w:sz w:val="28"/>
              </w:rPr>
              <w:t>在中国知网中，用生物学科素养作为关键字，对文献进行搜索，发现文章篇数为39篇。</w:t>
            </w:r>
          </w:p>
          <w:p>
            <w:pPr>
              <w:spacing w:line="500" w:lineRule="exact"/>
              <w:ind w:firstLine="560" w:firstLineChars="200"/>
              <w:rPr>
                <w:rFonts w:ascii="宋体"/>
                <w:sz w:val="28"/>
              </w:rPr>
            </w:pPr>
            <w:r>
              <w:rPr>
                <w:rFonts w:hint="eastAsia" w:ascii="宋体"/>
                <w:sz w:val="28"/>
              </w:rPr>
              <w:t>章熙东（2017）认为，培养学生的生物学科素养，鼓励学生参与科学实践，使学生在实践中加深对知识的理解、对技能的掌握、对学科思想的领悟，从而促进学生的终身发展。正如学生所说:“本次实践拉近了我与环境保护的距离。</w:t>
            </w:r>
          </w:p>
          <w:p>
            <w:pPr>
              <w:spacing w:line="500" w:lineRule="exact"/>
              <w:ind w:firstLine="560" w:firstLineChars="200"/>
              <w:rPr>
                <w:rFonts w:ascii="宋体"/>
                <w:sz w:val="28"/>
              </w:rPr>
            </w:pPr>
            <w:r>
              <w:rPr>
                <w:rFonts w:hint="eastAsia" w:ascii="宋体"/>
                <w:sz w:val="28"/>
              </w:rPr>
              <w:t>高维平（2017）认为，随着新课改的深人，高中生物学的地位日益提升， 对学生能力的要求也随之提髙，愈发注重学生学科素养的培养，倡导教学面向全体学生，加强教学与实际生活的联系，提倡探究性教学。提髙生物科学素养的途径很多，实验是最直接、最有效的一种途径，不仅能激发学生的学习兴趣，挖掘其创新潜力，还能培养学生的科学思维习惯，实现学科素养的提升。</w:t>
            </w:r>
          </w:p>
          <w:p>
            <w:pPr>
              <w:spacing w:line="500" w:lineRule="exact"/>
              <w:ind w:firstLine="560" w:firstLineChars="200"/>
              <w:rPr>
                <w:rFonts w:ascii="宋体"/>
                <w:sz w:val="28"/>
              </w:rPr>
            </w:pPr>
            <w:r>
              <w:rPr>
                <w:rFonts w:hint="eastAsia" w:ascii="宋体"/>
                <w:sz w:val="28"/>
              </w:rPr>
              <w:t>（二）内地西藏初中校学生理科素养现状</w:t>
            </w:r>
          </w:p>
          <w:p>
            <w:pPr>
              <w:spacing w:line="500" w:lineRule="exact"/>
              <w:ind w:firstLine="560" w:firstLineChars="200"/>
              <w:rPr>
                <w:rFonts w:ascii="宋体"/>
                <w:sz w:val="28"/>
              </w:rPr>
            </w:pPr>
            <w:r>
              <w:rPr>
                <w:rFonts w:hint="eastAsia" w:ascii="宋体"/>
                <w:sz w:val="28"/>
              </w:rPr>
              <w:t>通过对理科教师进行访谈，大家一致认为，内地西藏初中校学生由于地区性教育水平差异，以及学生对语言的理解等一系列因素的影响，学生的计算能力较差，特别是一些复杂的计算，学生错得很多。</w:t>
            </w:r>
          </w:p>
          <w:p>
            <w:pPr>
              <w:spacing w:line="500" w:lineRule="exact"/>
              <w:ind w:firstLine="560" w:firstLineChars="200"/>
              <w:rPr>
                <w:rFonts w:ascii="宋体"/>
                <w:sz w:val="28"/>
              </w:rPr>
            </w:pPr>
            <w:r>
              <w:rPr>
                <w:rFonts w:hint="eastAsia" w:ascii="宋体"/>
                <w:sz w:val="28"/>
              </w:rPr>
              <w:t>根据课题的研究内容，在南京师范大学朱曦教授的指导下，数、理、化、生四个科目分别针对各自学科影响学生学科素养的能力进行命题，共出四份调研试卷。通过，对常州西藏民族中学、济南西藏中学、上海共康中学西藏班等校的近300名学生进行问卷调查，得出具体数据如下：</w:t>
            </w:r>
          </w:p>
          <w:p>
            <w:pPr>
              <w:spacing w:line="500" w:lineRule="exact"/>
              <w:ind w:firstLine="560" w:firstLineChars="200"/>
              <w:rPr>
                <w:rFonts w:ascii="宋体"/>
                <w:sz w:val="28"/>
              </w:rPr>
            </w:pPr>
            <w:r>
              <w:rPr>
                <w:rFonts w:hint="eastAsia" w:ascii="宋体"/>
                <w:sz w:val="28"/>
              </w:rPr>
              <w:t>表一：数学</w:t>
            </w:r>
          </w:p>
          <w:tbl>
            <w:tblPr>
              <w:tblStyle w:val="6"/>
              <w:tblpPr w:leftFromText="180" w:rightFromText="180" w:vertAnchor="text" w:horzAnchor="margin" w:tblpY="1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475"/>
              <w:gridCol w:w="1217"/>
              <w:gridCol w:w="1217"/>
              <w:gridCol w:w="1218"/>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360" w:lineRule="auto"/>
                    <w:jc w:val="center"/>
                    <w:rPr>
                      <w:color w:val="000000"/>
                      <w:sz w:val="24"/>
                    </w:rPr>
                  </w:pPr>
                  <w:r>
                    <w:rPr>
                      <w:rFonts w:hint="eastAsia"/>
                      <w:color w:val="000000"/>
                      <w:sz w:val="24"/>
                    </w:rPr>
                    <w:t>能力</w:t>
                  </w:r>
                </w:p>
              </w:tc>
              <w:tc>
                <w:tcPr>
                  <w:tcW w:w="1475" w:type="dxa"/>
                  <w:vAlign w:val="center"/>
                </w:tcPr>
                <w:p>
                  <w:pPr>
                    <w:spacing w:line="360" w:lineRule="auto"/>
                    <w:jc w:val="center"/>
                    <w:rPr>
                      <w:color w:val="000000"/>
                      <w:sz w:val="24"/>
                    </w:rPr>
                  </w:pPr>
                  <w:r>
                    <w:rPr>
                      <w:rFonts w:hint="eastAsia"/>
                      <w:color w:val="000000"/>
                      <w:sz w:val="24"/>
                    </w:rPr>
                    <w:t>数学抽象与直观想象</w:t>
                  </w:r>
                </w:p>
              </w:tc>
              <w:tc>
                <w:tcPr>
                  <w:tcW w:w="1217" w:type="dxa"/>
                  <w:vAlign w:val="center"/>
                </w:tcPr>
                <w:p>
                  <w:pPr>
                    <w:spacing w:line="360" w:lineRule="auto"/>
                    <w:jc w:val="center"/>
                    <w:rPr>
                      <w:color w:val="000000"/>
                      <w:sz w:val="24"/>
                    </w:rPr>
                  </w:pPr>
                  <w:r>
                    <w:rPr>
                      <w:rFonts w:hint="eastAsia"/>
                      <w:color w:val="000000"/>
                      <w:sz w:val="24"/>
                    </w:rPr>
                    <w:t>逻辑推理</w:t>
                  </w:r>
                </w:p>
              </w:tc>
              <w:tc>
                <w:tcPr>
                  <w:tcW w:w="1217" w:type="dxa"/>
                  <w:vAlign w:val="center"/>
                </w:tcPr>
                <w:p>
                  <w:pPr>
                    <w:spacing w:line="360" w:lineRule="auto"/>
                    <w:jc w:val="center"/>
                    <w:rPr>
                      <w:color w:val="000000"/>
                      <w:sz w:val="24"/>
                    </w:rPr>
                  </w:pPr>
                  <w:r>
                    <w:rPr>
                      <w:rFonts w:hint="eastAsia"/>
                      <w:color w:val="000000"/>
                      <w:sz w:val="24"/>
                    </w:rPr>
                    <w:t>数形结合</w:t>
                  </w:r>
                </w:p>
              </w:tc>
              <w:tc>
                <w:tcPr>
                  <w:tcW w:w="1218" w:type="dxa"/>
                  <w:vAlign w:val="center"/>
                </w:tcPr>
                <w:p>
                  <w:pPr>
                    <w:spacing w:line="360" w:lineRule="auto"/>
                    <w:jc w:val="center"/>
                    <w:rPr>
                      <w:color w:val="000000"/>
                      <w:sz w:val="24"/>
                    </w:rPr>
                  </w:pPr>
                  <w:r>
                    <w:rPr>
                      <w:rFonts w:hint="eastAsia"/>
                      <w:color w:val="000000"/>
                      <w:sz w:val="24"/>
                    </w:rPr>
                    <w:t>类比</w:t>
                  </w:r>
                </w:p>
              </w:tc>
              <w:tc>
                <w:tcPr>
                  <w:tcW w:w="1218" w:type="dxa"/>
                  <w:vAlign w:val="center"/>
                </w:tcPr>
                <w:p>
                  <w:pPr>
                    <w:spacing w:line="360" w:lineRule="auto"/>
                    <w:jc w:val="center"/>
                    <w:rPr>
                      <w:color w:val="000000"/>
                      <w:sz w:val="24"/>
                    </w:rPr>
                  </w:pPr>
                  <w:r>
                    <w:rPr>
                      <w:rFonts w:hint="eastAsia"/>
                      <w:color w:val="000000"/>
                      <w:sz w:val="24"/>
                    </w:rPr>
                    <w:t>数学建模</w:t>
                  </w:r>
                </w:p>
              </w:tc>
              <w:tc>
                <w:tcPr>
                  <w:tcW w:w="1218" w:type="dxa"/>
                  <w:vAlign w:val="center"/>
                </w:tcPr>
                <w:p>
                  <w:pPr>
                    <w:spacing w:line="360" w:lineRule="auto"/>
                    <w:jc w:val="center"/>
                    <w:rPr>
                      <w:color w:val="000000"/>
                      <w:sz w:val="24"/>
                    </w:rPr>
                  </w:pPr>
                  <w:r>
                    <w:rPr>
                      <w:rFonts w:hint="eastAsia"/>
                      <w:color w:val="000000"/>
                      <w:sz w:val="24"/>
                    </w:rPr>
                    <w:t>方程思想运用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360" w:lineRule="auto"/>
                    <w:jc w:val="center"/>
                    <w:rPr>
                      <w:color w:val="000000"/>
                      <w:sz w:val="24"/>
                    </w:rPr>
                  </w:pPr>
                  <w:r>
                    <w:rPr>
                      <w:rFonts w:hint="eastAsia"/>
                      <w:color w:val="000000"/>
                      <w:sz w:val="24"/>
                    </w:rPr>
                    <w:t>得分率</w:t>
                  </w:r>
                </w:p>
              </w:tc>
              <w:tc>
                <w:tcPr>
                  <w:tcW w:w="1475" w:type="dxa"/>
                  <w:vAlign w:val="center"/>
                </w:tcPr>
                <w:p>
                  <w:pPr>
                    <w:spacing w:line="360" w:lineRule="auto"/>
                    <w:jc w:val="center"/>
                    <w:rPr>
                      <w:color w:val="000000"/>
                      <w:sz w:val="24"/>
                    </w:rPr>
                  </w:pPr>
                  <w:r>
                    <w:rPr>
                      <w:rFonts w:hint="eastAsia"/>
                      <w:color w:val="000000"/>
                      <w:sz w:val="24"/>
                    </w:rPr>
                    <w:t>35%</w:t>
                  </w:r>
                </w:p>
              </w:tc>
              <w:tc>
                <w:tcPr>
                  <w:tcW w:w="1217" w:type="dxa"/>
                  <w:vAlign w:val="center"/>
                </w:tcPr>
                <w:p>
                  <w:pPr>
                    <w:spacing w:line="360" w:lineRule="auto"/>
                    <w:jc w:val="center"/>
                    <w:rPr>
                      <w:color w:val="000000"/>
                      <w:sz w:val="24"/>
                    </w:rPr>
                  </w:pPr>
                  <w:r>
                    <w:rPr>
                      <w:rFonts w:hint="eastAsia"/>
                      <w:color w:val="000000"/>
                      <w:sz w:val="24"/>
                    </w:rPr>
                    <w:t>42%</w:t>
                  </w:r>
                </w:p>
              </w:tc>
              <w:tc>
                <w:tcPr>
                  <w:tcW w:w="1217" w:type="dxa"/>
                  <w:vAlign w:val="center"/>
                </w:tcPr>
                <w:p>
                  <w:pPr>
                    <w:spacing w:line="360" w:lineRule="auto"/>
                    <w:jc w:val="center"/>
                    <w:rPr>
                      <w:color w:val="000000"/>
                      <w:sz w:val="24"/>
                    </w:rPr>
                  </w:pPr>
                  <w:r>
                    <w:rPr>
                      <w:rFonts w:hint="eastAsia"/>
                      <w:color w:val="000000"/>
                      <w:sz w:val="24"/>
                    </w:rPr>
                    <w:t>47%</w:t>
                  </w:r>
                </w:p>
              </w:tc>
              <w:tc>
                <w:tcPr>
                  <w:tcW w:w="1218" w:type="dxa"/>
                  <w:vAlign w:val="center"/>
                </w:tcPr>
                <w:p>
                  <w:pPr>
                    <w:spacing w:line="360" w:lineRule="auto"/>
                    <w:jc w:val="center"/>
                    <w:rPr>
                      <w:color w:val="000000"/>
                      <w:sz w:val="24"/>
                    </w:rPr>
                  </w:pPr>
                  <w:r>
                    <w:rPr>
                      <w:rFonts w:hint="eastAsia"/>
                      <w:color w:val="000000"/>
                      <w:sz w:val="24"/>
                    </w:rPr>
                    <w:t>71%</w:t>
                  </w:r>
                </w:p>
              </w:tc>
              <w:tc>
                <w:tcPr>
                  <w:tcW w:w="1218" w:type="dxa"/>
                  <w:vAlign w:val="center"/>
                </w:tcPr>
                <w:p>
                  <w:pPr>
                    <w:spacing w:line="360" w:lineRule="auto"/>
                    <w:jc w:val="center"/>
                    <w:rPr>
                      <w:color w:val="000000"/>
                      <w:sz w:val="24"/>
                    </w:rPr>
                  </w:pPr>
                  <w:r>
                    <w:rPr>
                      <w:rFonts w:hint="eastAsia"/>
                      <w:color w:val="000000"/>
                      <w:sz w:val="24"/>
                    </w:rPr>
                    <w:t>38%</w:t>
                  </w:r>
                </w:p>
              </w:tc>
              <w:tc>
                <w:tcPr>
                  <w:tcW w:w="1218" w:type="dxa"/>
                  <w:vAlign w:val="center"/>
                </w:tcPr>
                <w:p>
                  <w:pPr>
                    <w:spacing w:line="360" w:lineRule="auto"/>
                    <w:jc w:val="center"/>
                    <w:rPr>
                      <w:color w:val="000000"/>
                      <w:sz w:val="24"/>
                    </w:rPr>
                  </w:pPr>
                  <w:r>
                    <w:rPr>
                      <w:rFonts w:hint="eastAsia"/>
                      <w:color w:val="000000"/>
                      <w:sz w:val="24"/>
                    </w:rPr>
                    <w:t>63%</w:t>
                  </w:r>
                </w:p>
              </w:tc>
            </w:tr>
          </w:tbl>
          <w:p>
            <w:pPr>
              <w:spacing w:line="500" w:lineRule="exact"/>
              <w:ind w:firstLine="560" w:firstLineChars="200"/>
              <w:rPr>
                <w:rFonts w:ascii="宋体"/>
                <w:sz w:val="28"/>
              </w:rPr>
            </w:pPr>
            <w:r>
              <w:rPr>
                <w:rFonts w:hint="eastAsia" w:ascii="宋体"/>
                <w:sz w:val="28"/>
              </w:rPr>
              <w:t>表二：物理</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559"/>
              <w:gridCol w:w="1418"/>
              <w:gridCol w:w="1275"/>
              <w:gridCol w:w="1985"/>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360" w:lineRule="auto"/>
                    <w:jc w:val="center"/>
                    <w:rPr>
                      <w:color w:val="000000"/>
                      <w:sz w:val="24"/>
                    </w:rPr>
                  </w:pPr>
                  <w:r>
                    <w:rPr>
                      <w:rFonts w:hint="eastAsia"/>
                      <w:color w:val="000000"/>
                      <w:sz w:val="24"/>
                    </w:rPr>
                    <w:t>能力</w:t>
                  </w:r>
                </w:p>
              </w:tc>
              <w:tc>
                <w:tcPr>
                  <w:tcW w:w="1559" w:type="dxa"/>
                  <w:vAlign w:val="center"/>
                </w:tcPr>
                <w:p>
                  <w:pPr>
                    <w:spacing w:line="360" w:lineRule="auto"/>
                    <w:jc w:val="center"/>
                    <w:rPr>
                      <w:color w:val="000000"/>
                      <w:sz w:val="24"/>
                    </w:rPr>
                  </w:pPr>
                  <w:r>
                    <w:rPr>
                      <w:rFonts w:hint="eastAsia"/>
                      <w:color w:val="000000"/>
                      <w:sz w:val="24"/>
                    </w:rPr>
                    <w:t>概念理解</w:t>
                  </w:r>
                </w:p>
              </w:tc>
              <w:tc>
                <w:tcPr>
                  <w:tcW w:w="1418" w:type="dxa"/>
                  <w:vAlign w:val="center"/>
                </w:tcPr>
                <w:p>
                  <w:pPr>
                    <w:spacing w:line="360" w:lineRule="auto"/>
                    <w:jc w:val="center"/>
                    <w:rPr>
                      <w:color w:val="000000"/>
                      <w:sz w:val="24"/>
                    </w:rPr>
                  </w:pPr>
                  <w:r>
                    <w:rPr>
                      <w:rFonts w:hint="eastAsia"/>
                      <w:color w:val="000000"/>
                      <w:sz w:val="24"/>
                    </w:rPr>
                    <w:t>图像处理</w:t>
                  </w:r>
                </w:p>
              </w:tc>
              <w:tc>
                <w:tcPr>
                  <w:tcW w:w="1275" w:type="dxa"/>
                  <w:vAlign w:val="center"/>
                </w:tcPr>
                <w:p>
                  <w:pPr>
                    <w:spacing w:line="360" w:lineRule="auto"/>
                    <w:jc w:val="center"/>
                    <w:rPr>
                      <w:color w:val="000000"/>
                      <w:sz w:val="24"/>
                    </w:rPr>
                  </w:pPr>
                  <w:r>
                    <w:rPr>
                      <w:rFonts w:hint="eastAsia"/>
                      <w:color w:val="000000"/>
                      <w:sz w:val="24"/>
                    </w:rPr>
                    <w:t>实验操作</w:t>
                  </w:r>
                </w:p>
              </w:tc>
              <w:tc>
                <w:tcPr>
                  <w:tcW w:w="1985" w:type="dxa"/>
                  <w:vAlign w:val="center"/>
                </w:tcPr>
                <w:p>
                  <w:pPr>
                    <w:spacing w:line="360" w:lineRule="auto"/>
                    <w:jc w:val="center"/>
                    <w:rPr>
                      <w:color w:val="000000"/>
                      <w:sz w:val="24"/>
                    </w:rPr>
                  </w:pPr>
                  <w:r>
                    <w:rPr>
                      <w:rFonts w:hint="eastAsia"/>
                      <w:color w:val="000000"/>
                      <w:sz w:val="24"/>
                    </w:rPr>
                    <w:t>物理量数据处理</w:t>
                  </w:r>
                </w:p>
              </w:tc>
              <w:tc>
                <w:tcPr>
                  <w:tcW w:w="1326" w:type="dxa"/>
                  <w:vAlign w:val="center"/>
                </w:tcPr>
                <w:p>
                  <w:pPr>
                    <w:spacing w:line="360" w:lineRule="auto"/>
                    <w:jc w:val="center"/>
                    <w:rPr>
                      <w:color w:val="000000"/>
                      <w:sz w:val="24"/>
                    </w:rPr>
                  </w:pPr>
                  <w:r>
                    <w:rPr>
                      <w:rFonts w:hint="eastAsia"/>
                      <w:color w:val="000000"/>
                      <w:sz w:val="24"/>
                    </w:rPr>
                    <w:t>数形结合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360" w:lineRule="auto"/>
                    <w:jc w:val="center"/>
                    <w:rPr>
                      <w:color w:val="000000"/>
                      <w:sz w:val="24"/>
                    </w:rPr>
                  </w:pPr>
                  <w:r>
                    <w:rPr>
                      <w:rFonts w:hint="eastAsia"/>
                      <w:color w:val="000000"/>
                      <w:sz w:val="24"/>
                    </w:rPr>
                    <w:t>得分率</w:t>
                  </w:r>
                </w:p>
              </w:tc>
              <w:tc>
                <w:tcPr>
                  <w:tcW w:w="1559" w:type="dxa"/>
                  <w:vAlign w:val="center"/>
                </w:tcPr>
                <w:p>
                  <w:pPr>
                    <w:spacing w:line="360" w:lineRule="auto"/>
                    <w:jc w:val="center"/>
                    <w:rPr>
                      <w:color w:val="000000"/>
                      <w:sz w:val="24"/>
                    </w:rPr>
                  </w:pPr>
                  <w:r>
                    <w:rPr>
                      <w:rFonts w:hint="eastAsia"/>
                      <w:color w:val="000000"/>
                      <w:sz w:val="24"/>
                    </w:rPr>
                    <w:t>56%</w:t>
                  </w:r>
                </w:p>
              </w:tc>
              <w:tc>
                <w:tcPr>
                  <w:tcW w:w="1418" w:type="dxa"/>
                  <w:vAlign w:val="center"/>
                </w:tcPr>
                <w:p>
                  <w:pPr>
                    <w:spacing w:line="360" w:lineRule="auto"/>
                    <w:jc w:val="center"/>
                    <w:rPr>
                      <w:color w:val="000000"/>
                      <w:sz w:val="24"/>
                    </w:rPr>
                  </w:pPr>
                  <w:r>
                    <w:rPr>
                      <w:rFonts w:hint="eastAsia"/>
                      <w:color w:val="000000"/>
                      <w:sz w:val="24"/>
                    </w:rPr>
                    <w:t>83%</w:t>
                  </w:r>
                </w:p>
              </w:tc>
              <w:tc>
                <w:tcPr>
                  <w:tcW w:w="1275" w:type="dxa"/>
                  <w:vAlign w:val="center"/>
                </w:tcPr>
                <w:p>
                  <w:pPr>
                    <w:spacing w:line="360" w:lineRule="auto"/>
                    <w:jc w:val="center"/>
                    <w:rPr>
                      <w:color w:val="000000"/>
                      <w:sz w:val="24"/>
                    </w:rPr>
                  </w:pPr>
                  <w:r>
                    <w:rPr>
                      <w:rFonts w:hint="eastAsia"/>
                      <w:color w:val="000000"/>
                      <w:sz w:val="24"/>
                    </w:rPr>
                    <w:t>44%</w:t>
                  </w:r>
                </w:p>
              </w:tc>
              <w:tc>
                <w:tcPr>
                  <w:tcW w:w="1985" w:type="dxa"/>
                  <w:vAlign w:val="center"/>
                </w:tcPr>
                <w:p>
                  <w:pPr>
                    <w:spacing w:line="360" w:lineRule="auto"/>
                    <w:jc w:val="center"/>
                    <w:rPr>
                      <w:color w:val="000000"/>
                      <w:sz w:val="24"/>
                    </w:rPr>
                  </w:pPr>
                  <w:r>
                    <w:rPr>
                      <w:rFonts w:hint="eastAsia"/>
                      <w:color w:val="000000"/>
                      <w:sz w:val="24"/>
                    </w:rPr>
                    <w:t>32%</w:t>
                  </w:r>
                </w:p>
              </w:tc>
              <w:tc>
                <w:tcPr>
                  <w:tcW w:w="1326" w:type="dxa"/>
                  <w:vAlign w:val="center"/>
                </w:tcPr>
                <w:p>
                  <w:pPr>
                    <w:spacing w:line="360" w:lineRule="auto"/>
                    <w:jc w:val="center"/>
                    <w:rPr>
                      <w:color w:val="000000"/>
                      <w:sz w:val="24"/>
                    </w:rPr>
                  </w:pPr>
                  <w:r>
                    <w:rPr>
                      <w:rFonts w:hint="eastAsia"/>
                      <w:color w:val="000000"/>
                      <w:sz w:val="24"/>
                    </w:rPr>
                    <w:t>41%</w:t>
                  </w:r>
                </w:p>
              </w:tc>
            </w:tr>
          </w:tbl>
          <w:p>
            <w:pPr>
              <w:spacing w:line="500" w:lineRule="exact"/>
              <w:ind w:firstLine="560" w:firstLineChars="200"/>
              <w:rPr>
                <w:rFonts w:ascii="宋体"/>
                <w:sz w:val="28"/>
              </w:rPr>
            </w:pPr>
          </w:p>
          <w:p>
            <w:pPr>
              <w:spacing w:line="500" w:lineRule="exact"/>
              <w:ind w:firstLine="560" w:firstLineChars="200"/>
              <w:rPr>
                <w:rFonts w:ascii="宋体"/>
                <w:sz w:val="28"/>
              </w:rPr>
            </w:pPr>
          </w:p>
          <w:p>
            <w:pPr>
              <w:spacing w:line="500" w:lineRule="exact"/>
              <w:ind w:firstLine="560" w:firstLineChars="200"/>
              <w:rPr>
                <w:rFonts w:ascii="宋体"/>
                <w:sz w:val="28"/>
              </w:rPr>
            </w:pPr>
            <w:r>
              <w:rPr>
                <w:rFonts w:hint="eastAsia" w:ascii="宋体"/>
                <w:sz w:val="28"/>
              </w:rPr>
              <w:t>表三：化学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701"/>
              <w:gridCol w:w="1276"/>
              <w:gridCol w:w="1275"/>
              <w:gridCol w:w="1985"/>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360" w:lineRule="auto"/>
                    <w:jc w:val="center"/>
                    <w:rPr>
                      <w:color w:val="000000"/>
                      <w:sz w:val="24"/>
                    </w:rPr>
                  </w:pPr>
                  <w:r>
                    <w:rPr>
                      <w:rFonts w:hint="eastAsia"/>
                      <w:color w:val="000000"/>
                      <w:sz w:val="24"/>
                    </w:rPr>
                    <w:t>能力</w:t>
                  </w:r>
                </w:p>
              </w:tc>
              <w:tc>
                <w:tcPr>
                  <w:tcW w:w="1701" w:type="dxa"/>
                  <w:vAlign w:val="center"/>
                </w:tcPr>
                <w:p>
                  <w:pPr>
                    <w:spacing w:line="360" w:lineRule="auto"/>
                    <w:jc w:val="center"/>
                    <w:rPr>
                      <w:color w:val="000000"/>
                      <w:sz w:val="24"/>
                    </w:rPr>
                  </w:pPr>
                  <w:r>
                    <w:rPr>
                      <w:rFonts w:hint="eastAsia"/>
                      <w:color w:val="000000"/>
                      <w:sz w:val="24"/>
                    </w:rPr>
                    <w:t>化学规律应用</w:t>
                  </w:r>
                </w:p>
              </w:tc>
              <w:tc>
                <w:tcPr>
                  <w:tcW w:w="1276" w:type="dxa"/>
                  <w:vAlign w:val="center"/>
                </w:tcPr>
                <w:p>
                  <w:pPr>
                    <w:spacing w:line="360" w:lineRule="auto"/>
                    <w:jc w:val="center"/>
                    <w:rPr>
                      <w:color w:val="000000"/>
                      <w:sz w:val="24"/>
                    </w:rPr>
                  </w:pPr>
                  <w:r>
                    <w:rPr>
                      <w:rFonts w:hint="eastAsia"/>
                      <w:color w:val="000000"/>
                      <w:sz w:val="24"/>
                    </w:rPr>
                    <w:t>实验操作</w:t>
                  </w:r>
                </w:p>
              </w:tc>
              <w:tc>
                <w:tcPr>
                  <w:tcW w:w="1275" w:type="dxa"/>
                  <w:vAlign w:val="center"/>
                </w:tcPr>
                <w:p>
                  <w:pPr>
                    <w:spacing w:line="360" w:lineRule="auto"/>
                    <w:jc w:val="center"/>
                    <w:rPr>
                      <w:color w:val="000000"/>
                      <w:sz w:val="24"/>
                    </w:rPr>
                  </w:pPr>
                  <w:r>
                    <w:rPr>
                      <w:rFonts w:hint="eastAsia"/>
                      <w:color w:val="000000"/>
                      <w:sz w:val="24"/>
                    </w:rPr>
                    <w:t>微观粒子模型应用</w:t>
                  </w:r>
                </w:p>
              </w:tc>
              <w:tc>
                <w:tcPr>
                  <w:tcW w:w="1985" w:type="dxa"/>
                  <w:vAlign w:val="center"/>
                </w:tcPr>
                <w:p>
                  <w:pPr>
                    <w:spacing w:line="360" w:lineRule="auto"/>
                    <w:jc w:val="center"/>
                    <w:rPr>
                      <w:color w:val="000000"/>
                      <w:sz w:val="24"/>
                    </w:rPr>
                  </w:pPr>
                  <w:r>
                    <w:rPr>
                      <w:rFonts w:hint="eastAsia"/>
                      <w:color w:val="000000"/>
                      <w:sz w:val="24"/>
                    </w:rPr>
                    <w:t>观察猜想能力和获取有效信息</w:t>
                  </w:r>
                </w:p>
              </w:tc>
              <w:tc>
                <w:tcPr>
                  <w:tcW w:w="1326" w:type="dxa"/>
                  <w:vAlign w:val="center"/>
                </w:tcPr>
                <w:p>
                  <w:pPr>
                    <w:spacing w:line="360" w:lineRule="auto"/>
                    <w:jc w:val="center"/>
                    <w:rPr>
                      <w:color w:val="000000"/>
                      <w:sz w:val="24"/>
                    </w:rPr>
                  </w:pPr>
                  <w:r>
                    <w:rPr>
                      <w:rFonts w:hint="eastAsia"/>
                      <w:color w:val="000000"/>
                      <w:sz w:val="24"/>
                    </w:rPr>
                    <w:t>实验方案设计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360" w:lineRule="auto"/>
                    <w:jc w:val="center"/>
                    <w:rPr>
                      <w:color w:val="000000"/>
                      <w:sz w:val="24"/>
                    </w:rPr>
                  </w:pPr>
                  <w:r>
                    <w:rPr>
                      <w:rFonts w:hint="eastAsia"/>
                      <w:color w:val="000000"/>
                      <w:sz w:val="24"/>
                    </w:rPr>
                    <w:t>得分率</w:t>
                  </w:r>
                </w:p>
              </w:tc>
              <w:tc>
                <w:tcPr>
                  <w:tcW w:w="1701" w:type="dxa"/>
                  <w:vAlign w:val="center"/>
                </w:tcPr>
                <w:p>
                  <w:pPr>
                    <w:spacing w:line="360" w:lineRule="auto"/>
                    <w:jc w:val="center"/>
                    <w:rPr>
                      <w:color w:val="000000"/>
                      <w:sz w:val="24"/>
                    </w:rPr>
                  </w:pPr>
                  <w:r>
                    <w:rPr>
                      <w:rFonts w:hint="eastAsia"/>
                      <w:color w:val="000000"/>
                      <w:sz w:val="24"/>
                    </w:rPr>
                    <w:t>73%</w:t>
                  </w:r>
                </w:p>
              </w:tc>
              <w:tc>
                <w:tcPr>
                  <w:tcW w:w="1276" w:type="dxa"/>
                  <w:vAlign w:val="center"/>
                </w:tcPr>
                <w:p>
                  <w:pPr>
                    <w:spacing w:line="360" w:lineRule="auto"/>
                    <w:jc w:val="center"/>
                    <w:rPr>
                      <w:color w:val="000000"/>
                      <w:sz w:val="24"/>
                    </w:rPr>
                  </w:pPr>
                  <w:r>
                    <w:rPr>
                      <w:rFonts w:hint="eastAsia"/>
                      <w:color w:val="000000"/>
                      <w:sz w:val="24"/>
                    </w:rPr>
                    <w:t>49%</w:t>
                  </w:r>
                </w:p>
              </w:tc>
              <w:tc>
                <w:tcPr>
                  <w:tcW w:w="1275" w:type="dxa"/>
                  <w:vAlign w:val="center"/>
                </w:tcPr>
                <w:p>
                  <w:pPr>
                    <w:spacing w:line="360" w:lineRule="auto"/>
                    <w:jc w:val="center"/>
                    <w:rPr>
                      <w:color w:val="000000"/>
                      <w:sz w:val="24"/>
                    </w:rPr>
                  </w:pPr>
                  <w:r>
                    <w:rPr>
                      <w:rFonts w:hint="eastAsia"/>
                      <w:color w:val="000000"/>
                      <w:sz w:val="24"/>
                    </w:rPr>
                    <w:t>52%</w:t>
                  </w:r>
                </w:p>
              </w:tc>
              <w:tc>
                <w:tcPr>
                  <w:tcW w:w="1985" w:type="dxa"/>
                  <w:vAlign w:val="center"/>
                </w:tcPr>
                <w:p>
                  <w:pPr>
                    <w:spacing w:line="360" w:lineRule="auto"/>
                    <w:jc w:val="center"/>
                    <w:rPr>
                      <w:color w:val="000000"/>
                      <w:sz w:val="24"/>
                    </w:rPr>
                  </w:pPr>
                  <w:r>
                    <w:rPr>
                      <w:rFonts w:hint="eastAsia"/>
                      <w:color w:val="000000"/>
                      <w:sz w:val="24"/>
                    </w:rPr>
                    <w:t>39%</w:t>
                  </w:r>
                </w:p>
              </w:tc>
              <w:tc>
                <w:tcPr>
                  <w:tcW w:w="1326" w:type="dxa"/>
                  <w:vAlign w:val="center"/>
                </w:tcPr>
                <w:p>
                  <w:pPr>
                    <w:spacing w:line="360" w:lineRule="auto"/>
                    <w:jc w:val="center"/>
                    <w:rPr>
                      <w:color w:val="000000"/>
                      <w:sz w:val="24"/>
                    </w:rPr>
                  </w:pPr>
                  <w:r>
                    <w:rPr>
                      <w:rFonts w:hint="eastAsia"/>
                      <w:color w:val="000000"/>
                      <w:sz w:val="24"/>
                    </w:rPr>
                    <w:t>47%</w:t>
                  </w:r>
                </w:p>
              </w:tc>
            </w:tr>
          </w:tbl>
          <w:p>
            <w:pPr>
              <w:spacing w:line="500" w:lineRule="exact"/>
              <w:ind w:firstLine="560" w:firstLineChars="200"/>
              <w:rPr>
                <w:rFonts w:ascii="宋体"/>
                <w:sz w:val="28"/>
              </w:rPr>
            </w:pPr>
            <w:r>
              <w:rPr>
                <w:rFonts w:hint="eastAsia" w:ascii="宋体"/>
                <w:sz w:val="28"/>
              </w:rPr>
              <w:t>表四：生物</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spacing w:line="360" w:lineRule="auto"/>
                    <w:jc w:val="center"/>
                    <w:rPr>
                      <w:color w:val="000000"/>
                      <w:sz w:val="24"/>
                    </w:rPr>
                  </w:pPr>
                  <w:r>
                    <w:rPr>
                      <w:rFonts w:hint="eastAsia"/>
                      <w:color w:val="000000"/>
                      <w:sz w:val="24"/>
                    </w:rPr>
                    <w:t>能力</w:t>
                  </w:r>
                </w:p>
              </w:tc>
              <w:tc>
                <w:tcPr>
                  <w:tcW w:w="1420" w:type="dxa"/>
                  <w:vAlign w:val="center"/>
                </w:tcPr>
                <w:p>
                  <w:pPr>
                    <w:spacing w:line="360" w:lineRule="auto"/>
                    <w:jc w:val="center"/>
                    <w:rPr>
                      <w:color w:val="000000"/>
                      <w:sz w:val="24"/>
                    </w:rPr>
                  </w:pPr>
                  <w:r>
                    <w:rPr>
                      <w:rFonts w:hint="eastAsia"/>
                      <w:color w:val="000000"/>
                      <w:sz w:val="24"/>
                    </w:rPr>
                    <w:t>观察能力</w:t>
                  </w:r>
                </w:p>
              </w:tc>
              <w:tc>
                <w:tcPr>
                  <w:tcW w:w="1420" w:type="dxa"/>
                  <w:vAlign w:val="center"/>
                </w:tcPr>
                <w:p>
                  <w:pPr>
                    <w:spacing w:line="360" w:lineRule="auto"/>
                    <w:jc w:val="center"/>
                    <w:rPr>
                      <w:color w:val="000000"/>
                      <w:sz w:val="24"/>
                    </w:rPr>
                  </w:pPr>
                  <w:r>
                    <w:rPr>
                      <w:rFonts w:hint="eastAsia"/>
                      <w:color w:val="000000"/>
                      <w:sz w:val="24"/>
                    </w:rPr>
                    <w:t>科学思维</w:t>
                  </w:r>
                </w:p>
              </w:tc>
              <w:tc>
                <w:tcPr>
                  <w:tcW w:w="1420" w:type="dxa"/>
                  <w:vAlign w:val="center"/>
                </w:tcPr>
                <w:p>
                  <w:pPr>
                    <w:spacing w:line="360" w:lineRule="auto"/>
                    <w:jc w:val="center"/>
                    <w:rPr>
                      <w:color w:val="000000"/>
                      <w:sz w:val="24"/>
                    </w:rPr>
                  </w:pPr>
                  <w:r>
                    <w:rPr>
                      <w:rFonts w:hint="eastAsia"/>
                      <w:color w:val="000000"/>
                      <w:sz w:val="24"/>
                    </w:rPr>
                    <w:t>实验设计</w:t>
                  </w:r>
                </w:p>
              </w:tc>
              <w:tc>
                <w:tcPr>
                  <w:tcW w:w="1421" w:type="dxa"/>
                  <w:vAlign w:val="center"/>
                </w:tcPr>
                <w:p>
                  <w:pPr>
                    <w:spacing w:line="360" w:lineRule="auto"/>
                    <w:jc w:val="center"/>
                    <w:rPr>
                      <w:color w:val="000000"/>
                      <w:sz w:val="24"/>
                    </w:rPr>
                  </w:pPr>
                  <w:r>
                    <w:rPr>
                      <w:rFonts w:hint="eastAsia"/>
                      <w:color w:val="000000"/>
                      <w:sz w:val="24"/>
                    </w:rPr>
                    <w:t>创新能力</w:t>
                  </w:r>
                </w:p>
              </w:tc>
              <w:tc>
                <w:tcPr>
                  <w:tcW w:w="1421" w:type="dxa"/>
                  <w:vAlign w:val="center"/>
                </w:tcPr>
                <w:p>
                  <w:pPr>
                    <w:spacing w:line="360" w:lineRule="auto"/>
                    <w:jc w:val="center"/>
                    <w:rPr>
                      <w:color w:val="000000"/>
                      <w:sz w:val="24"/>
                    </w:rPr>
                  </w:pPr>
                  <w:r>
                    <w:rPr>
                      <w:rFonts w:hint="eastAsia"/>
                      <w:color w:val="000000"/>
                      <w:sz w:val="24"/>
                    </w:rPr>
                    <w:t>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spacing w:line="360" w:lineRule="auto"/>
                    <w:jc w:val="center"/>
                    <w:rPr>
                      <w:color w:val="000000"/>
                      <w:sz w:val="24"/>
                    </w:rPr>
                  </w:pPr>
                  <w:r>
                    <w:rPr>
                      <w:rFonts w:hint="eastAsia"/>
                      <w:color w:val="000000"/>
                      <w:sz w:val="24"/>
                    </w:rPr>
                    <w:t>得分率</w:t>
                  </w:r>
                </w:p>
              </w:tc>
              <w:tc>
                <w:tcPr>
                  <w:tcW w:w="1420" w:type="dxa"/>
                  <w:vAlign w:val="center"/>
                </w:tcPr>
                <w:p>
                  <w:pPr>
                    <w:spacing w:line="360" w:lineRule="auto"/>
                    <w:jc w:val="center"/>
                    <w:rPr>
                      <w:color w:val="000000"/>
                      <w:sz w:val="24"/>
                    </w:rPr>
                  </w:pPr>
                  <w:r>
                    <w:rPr>
                      <w:rFonts w:hint="eastAsia"/>
                      <w:color w:val="000000"/>
                      <w:sz w:val="24"/>
                    </w:rPr>
                    <w:t>63%</w:t>
                  </w:r>
                </w:p>
              </w:tc>
              <w:tc>
                <w:tcPr>
                  <w:tcW w:w="1420" w:type="dxa"/>
                  <w:vAlign w:val="center"/>
                </w:tcPr>
                <w:p>
                  <w:pPr>
                    <w:spacing w:line="360" w:lineRule="auto"/>
                    <w:jc w:val="center"/>
                    <w:rPr>
                      <w:color w:val="000000"/>
                      <w:sz w:val="24"/>
                    </w:rPr>
                  </w:pPr>
                  <w:r>
                    <w:rPr>
                      <w:rFonts w:hint="eastAsia"/>
                      <w:color w:val="000000"/>
                      <w:sz w:val="24"/>
                    </w:rPr>
                    <w:t>35%</w:t>
                  </w:r>
                </w:p>
              </w:tc>
              <w:tc>
                <w:tcPr>
                  <w:tcW w:w="1420" w:type="dxa"/>
                  <w:vAlign w:val="center"/>
                </w:tcPr>
                <w:p>
                  <w:pPr>
                    <w:spacing w:line="360" w:lineRule="auto"/>
                    <w:jc w:val="center"/>
                    <w:rPr>
                      <w:color w:val="000000"/>
                      <w:sz w:val="24"/>
                    </w:rPr>
                  </w:pPr>
                  <w:r>
                    <w:rPr>
                      <w:rFonts w:hint="eastAsia"/>
                      <w:color w:val="000000"/>
                      <w:sz w:val="24"/>
                    </w:rPr>
                    <w:t>44%</w:t>
                  </w:r>
                </w:p>
              </w:tc>
              <w:tc>
                <w:tcPr>
                  <w:tcW w:w="1421" w:type="dxa"/>
                  <w:vAlign w:val="center"/>
                </w:tcPr>
                <w:p>
                  <w:pPr>
                    <w:spacing w:line="360" w:lineRule="auto"/>
                    <w:jc w:val="center"/>
                    <w:rPr>
                      <w:color w:val="000000"/>
                      <w:sz w:val="24"/>
                    </w:rPr>
                  </w:pPr>
                  <w:r>
                    <w:rPr>
                      <w:rFonts w:hint="eastAsia"/>
                      <w:color w:val="000000"/>
                      <w:sz w:val="24"/>
                    </w:rPr>
                    <w:t>30%</w:t>
                  </w:r>
                </w:p>
              </w:tc>
              <w:tc>
                <w:tcPr>
                  <w:tcW w:w="1421" w:type="dxa"/>
                  <w:vAlign w:val="center"/>
                </w:tcPr>
                <w:p>
                  <w:pPr>
                    <w:spacing w:line="360" w:lineRule="auto"/>
                    <w:jc w:val="center"/>
                    <w:rPr>
                      <w:color w:val="000000"/>
                      <w:sz w:val="24"/>
                    </w:rPr>
                  </w:pPr>
                  <w:r>
                    <w:rPr>
                      <w:rFonts w:hint="eastAsia"/>
                      <w:color w:val="000000"/>
                      <w:sz w:val="24"/>
                    </w:rPr>
                    <w:t>41%</w:t>
                  </w:r>
                </w:p>
              </w:tc>
            </w:tr>
          </w:tbl>
          <w:p>
            <w:pPr>
              <w:spacing w:line="500" w:lineRule="exact"/>
              <w:ind w:firstLine="560" w:firstLineChars="200"/>
              <w:rPr>
                <w:rFonts w:ascii="宋体"/>
                <w:sz w:val="28"/>
              </w:rPr>
            </w:pPr>
            <w:r>
              <w:rPr>
                <w:rFonts w:hint="eastAsia" w:ascii="宋体"/>
                <w:sz w:val="28"/>
              </w:rPr>
              <w:t>结论：</w:t>
            </w:r>
          </w:p>
          <w:p>
            <w:pPr>
              <w:spacing w:line="500" w:lineRule="exact"/>
              <w:ind w:firstLine="560" w:firstLineChars="200"/>
              <w:rPr>
                <w:rFonts w:ascii="宋体"/>
                <w:sz w:val="28"/>
              </w:rPr>
            </w:pPr>
            <w:r>
              <w:rPr>
                <w:rFonts w:hint="eastAsia" w:ascii="宋体"/>
                <w:sz w:val="28"/>
              </w:rPr>
              <w:t>（1）从访谈得到，学生的计算能力较差，特别是一些复杂计算。</w:t>
            </w:r>
          </w:p>
          <w:p>
            <w:pPr>
              <w:spacing w:line="500" w:lineRule="exact"/>
              <w:ind w:firstLine="560" w:firstLineChars="200"/>
              <w:rPr>
                <w:rFonts w:ascii="宋体"/>
                <w:sz w:val="28"/>
              </w:rPr>
            </w:pPr>
            <w:r>
              <w:rPr>
                <w:rFonts w:hint="eastAsia" w:ascii="宋体"/>
                <w:sz w:val="28"/>
              </w:rPr>
              <w:t>（2）从物理、化学、生物三门学科数据分析，学生的实验设计能力、实验操作能力较差。</w:t>
            </w:r>
          </w:p>
          <w:p>
            <w:pPr>
              <w:spacing w:line="500" w:lineRule="exact"/>
              <w:ind w:firstLine="560" w:firstLineChars="200"/>
              <w:rPr>
                <w:rFonts w:ascii="宋体"/>
                <w:sz w:val="28"/>
              </w:rPr>
            </w:pPr>
            <w:r>
              <w:rPr>
                <w:rFonts w:hint="eastAsia" w:ascii="宋体"/>
                <w:sz w:val="28"/>
              </w:rPr>
              <w:t>（3）从数学、物理二门学科数据分析，数形结合能力较差。</w:t>
            </w:r>
          </w:p>
          <w:p>
            <w:pPr>
              <w:spacing w:line="500" w:lineRule="exact"/>
              <w:ind w:firstLine="560" w:firstLineChars="200"/>
              <w:rPr>
                <w:rFonts w:ascii="宋体"/>
                <w:sz w:val="28"/>
              </w:rPr>
            </w:pPr>
            <w:r>
              <w:rPr>
                <w:rFonts w:hint="eastAsia" w:ascii="宋体"/>
                <w:sz w:val="28"/>
              </w:rPr>
              <w:t>（4）除以上一些共同的特点之外，数学中的数学抽象与直观想象能力、逻辑推理能力、数学建模能力较差；物理中的物理量数据处理能力较差；化学中的微观粒子模型应用能力、观察猜想能力和获取有效信息能力较差；生物中的科学思维能力、创新能力、应用能力等。</w:t>
            </w:r>
          </w:p>
          <w:p>
            <w:pPr>
              <w:spacing w:line="500" w:lineRule="exact"/>
              <w:ind w:firstLine="560" w:firstLineChars="200"/>
              <w:rPr>
                <w:rFonts w:ascii="宋体"/>
                <w:sz w:val="28"/>
              </w:rPr>
            </w:pPr>
            <w:r>
              <w:rPr>
                <w:rFonts w:hint="eastAsia" w:ascii="宋体"/>
                <w:sz w:val="28"/>
              </w:rPr>
              <w:t>（三）微课在内地西藏班初中校理科教学中的优势分析</w:t>
            </w:r>
          </w:p>
          <w:p>
            <w:pPr>
              <w:spacing w:line="500" w:lineRule="exact"/>
              <w:ind w:firstLine="560" w:firstLineChars="200"/>
              <w:rPr>
                <w:rFonts w:ascii="宋体"/>
                <w:sz w:val="28"/>
              </w:rPr>
            </w:pPr>
            <w:r>
              <w:rPr>
                <w:rFonts w:hint="eastAsia" w:ascii="宋体"/>
                <w:sz w:val="28"/>
              </w:rPr>
              <w:t>微课从本身的特点来说，他的优势有：</w:t>
            </w:r>
          </w:p>
          <w:p>
            <w:pPr>
              <w:spacing w:line="500" w:lineRule="exact"/>
              <w:ind w:firstLine="560" w:firstLineChars="200"/>
              <w:rPr>
                <w:rFonts w:ascii="宋体"/>
                <w:sz w:val="28"/>
              </w:rPr>
            </w:pPr>
            <w:r>
              <w:rPr>
                <w:rFonts w:hint="eastAsia" w:ascii="宋体"/>
                <w:sz w:val="28"/>
              </w:rPr>
              <w:t>（1）、时间短；</w:t>
            </w:r>
          </w:p>
          <w:p>
            <w:pPr>
              <w:spacing w:line="500" w:lineRule="exact"/>
              <w:ind w:firstLine="560" w:firstLineChars="200"/>
              <w:rPr>
                <w:rFonts w:ascii="宋体"/>
                <w:sz w:val="28"/>
              </w:rPr>
            </w:pPr>
            <w:r>
              <w:rPr>
                <w:rFonts w:hint="eastAsia" w:ascii="宋体"/>
                <w:sz w:val="28"/>
              </w:rPr>
              <w:t>（2）、内容少；</w:t>
            </w:r>
          </w:p>
          <w:p>
            <w:pPr>
              <w:spacing w:line="500" w:lineRule="exact"/>
              <w:ind w:firstLine="560" w:firstLineChars="200"/>
              <w:rPr>
                <w:rFonts w:ascii="宋体"/>
                <w:sz w:val="28"/>
              </w:rPr>
            </w:pPr>
            <w:r>
              <w:rPr>
                <w:rFonts w:hint="eastAsia" w:ascii="宋体"/>
                <w:sz w:val="28"/>
              </w:rPr>
              <w:t>（3）、容量少；</w:t>
            </w:r>
          </w:p>
          <w:p>
            <w:pPr>
              <w:spacing w:line="500" w:lineRule="exact"/>
              <w:ind w:firstLine="560" w:firstLineChars="200"/>
              <w:rPr>
                <w:rFonts w:ascii="宋体"/>
                <w:sz w:val="28"/>
              </w:rPr>
            </w:pPr>
            <w:r>
              <w:rPr>
                <w:rFonts w:hint="eastAsia" w:ascii="宋体"/>
                <w:sz w:val="28"/>
              </w:rPr>
              <w:t>（4）、个性化辅导等。</w:t>
            </w:r>
          </w:p>
          <w:p>
            <w:pPr>
              <w:spacing w:line="500" w:lineRule="exact"/>
              <w:ind w:firstLine="560" w:firstLineChars="200"/>
              <w:rPr>
                <w:rFonts w:ascii="宋体"/>
                <w:sz w:val="28"/>
              </w:rPr>
            </w:pPr>
            <w:r>
              <w:rPr>
                <w:rFonts w:hint="eastAsia" w:ascii="宋体"/>
                <w:sz w:val="28"/>
              </w:rPr>
              <w:t xml:space="preserve">微课与理科教学结合起来，优势就大大超出他本身特点的优势，如： </w:t>
            </w:r>
          </w:p>
          <w:p>
            <w:pPr>
              <w:spacing w:line="500" w:lineRule="exact"/>
              <w:ind w:firstLine="200"/>
              <w:rPr>
                <w:rFonts w:ascii="宋体"/>
                <w:sz w:val="28"/>
              </w:rPr>
            </w:pPr>
            <w:r>
              <w:rPr>
                <w:rFonts w:hint="eastAsia" w:ascii="宋体"/>
                <w:sz w:val="28"/>
              </w:rPr>
              <w:t>（1）、微课可以一定程度上突出教学重难点。</w:t>
            </w:r>
          </w:p>
          <w:p>
            <w:pPr>
              <w:spacing w:line="500" w:lineRule="exact"/>
              <w:ind w:firstLine="200"/>
              <w:rPr>
                <w:rFonts w:ascii="宋体"/>
                <w:sz w:val="28"/>
              </w:rPr>
            </w:pPr>
            <w:r>
              <w:rPr>
                <w:rFonts w:hint="eastAsia" w:ascii="宋体"/>
                <w:sz w:val="28"/>
              </w:rPr>
              <w:t>在微课的使用中，当教师播放视频时，可以十分方便地重复播放知识内容。这种便捷的操作，有效地突出了对重点知识内容的强调。对于教学中需要突出的内容，教师只要重复播放就可以完成了。</w:t>
            </w:r>
          </w:p>
          <w:p>
            <w:pPr>
              <w:spacing w:line="500" w:lineRule="exact"/>
              <w:ind w:firstLine="200"/>
              <w:rPr>
                <w:rFonts w:ascii="宋体"/>
                <w:sz w:val="28"/>
              </w:rPr>
            </w:pPr>
            <w:r>
              <w:rPr>
                <w:rFonts w:hint="eastAsia" w:ascii="宋体"/>
                <w:sz w:val="28"/>
              </w:rPr>
              <w:t>（2）微课可以将教学中抽象、复杂的知识点直观化、简单化，从而帮助学生更好理解和掌握教学知识。</w:t>
            </w:r>
          </w:p>
          <w:p>
            <w:pPr>
              <w:spacing w:line="500" w:lineRule="exact"/>
              <w:ind w:firstLine="200"/>
              <w:rPr>
                <w:rFonts w:ascii="宋体"/>
                <w:sz w:val="28"/>
              </w:rPr>
            </w:pPr>
            <w:r>
              <w:rPr>
                <w:rFonts w:hint="eastAsia" w:ascii="宋体"/>
                <w:sz w:val="28"/>
              </w:rPr>
              <w:t>（3）、根据微课小而精的特点，可以将其下载到学习终端，让学生根据自身需求观看，促进学生自主学习能力的提升，实现个性化教学。</w:t>
            </w:r>
          </w:p>
          <w:p>
            <w:pPr>
              <w:spacing w:line="500" w:lineRule="exact"/>
              <w:ind w:firstLine="200"/>
              <w:rPr>
                <w:rFonts w:ascii="宋体"/>
                <w:sz w:val="28"/>
              </w:rPr>
            </w:pPr>
            <w:r>
              <w:rPr>
                <w:rFonts w:hint="eastAsia" w:ascii="宋体"/>
                <w:sz w:val="28"/>
              </w:rPr>
              <w:t>每个学生都是不同的个体，都有着自己不同的成长。学生的智商存在差异，学生的思维存在着不同，学习的学习经历也千差万别，学生的学习存在着差异非常正常，对知识的理解，对规律的认识，对方法的应用等都有不同，因而课后作业的错误也因人而异，这时，老师不可能解决所有同学的问题。但是通过微课，学生可以选择自己错误题目的视频进行学习，反复观看，反复揣摩，直到完全弄懂为止。利用这种学习，不同的学生有不同的选择，能够更好的提高学习效率。学生也可以根据自己在课堂上掌握的程度，在课后回看微课，对课堂内容进行加深和更好的理解，而且这个过程可以无限的重复，直到学生完全掌握为止！这就满足了不同学生的差异化需求！</w:t>
            </w:r>
          </w:p>
          <w:p>
            <w:pPr>
              <w:spacing w:line="500" w:lineRule="exact"/>
              <w:ind w:firstLine="200"/>
              <w:rPr>
                <w:rFonts w:ascii="宋体"/>
                <w:sz w:val="28"/>
              </w:rPr>
            </w:pPr>
            <w:r>
              <w:rPr>
                <w:rFonts w:hint="eastAsia" w:ascii="宋体"/>
                <w:sz w:val="28"/>
              </w:rPr>
              <w:t>（4）、微课是一种创新性的教学形式,能够让原本枯燥、乏味的教学课堂内容变得生动、活泼。微课让学习过程变得轻松活泼，同时有画面和音乐，显得直观形象，对初中生来说，这样的吸引力比老师单纯的讲要大得多！这样更容易调动起学生的兴趣和注意力，让学生产生很深刻的印象，对物理的学习更加感兴趣，更好的激发学生的热情。</w:t>
            </w:r>
          </w:p>
          <w:p>
            <w:pPr>
              <w:spacing w:line="500" w:lineRule="exact"/>
              <w:ind w:firstLine="200"/>
              <w:rPr>
                <w:rFonts w:ascii="宋体"/>
                <w:sz w:val="28"/>
              </w:rPr>
            </w:pPr>
            <w:r>
              <w:rPr>
                <w:rFonts w:hint="eastAsia" w:ascii="宋体"/>
                <w:sz w:val="28"/>
              </w:rPr>
              <w:t>（5）、微课的记忆性帮助学生记忆概念，形成正确的知识体系。</w:t>
            </w:r>
          </w:p>
          <w:p>
            <w:pPr>
              <w:spacing w:line="500" w:lineRule="exact"/>
              <w:ind w:firstLine="200"/>
              <w:rPr>
                <w:rFonts w:ascii="宋体"/>
                <w:sz w:val="28"/>
              </w:rPr>
            </w:pPr>
            <w:r>
              <w:rPr>
                <w:rFonts w:hint="eastAsia" w:ascii="宋体"/>
                <w:sz w:val="28"/>
              </w:rPr>
              <w:t>理科各科目中有很多章节概念很多，记忆量很大，课时比较长，学生通常都是老师讲到后面他们忘到前面的知识，还有很多容易混淆的概念，我们在平时教学中也发现这是学生的难点，概念的混淆是普遍存在的现象。我们可以使用微课解决这个问题，把这一章的概念按接受知识的过程步步呈现给学生，让学生形成体系。我们不断反复利用微课的记忆能力帮助学生理清楚概念，形成正确的知识体系。</w:t>
            </w:r>
          </w:p>
          <w:p>
            <w:pPr>
              <w:spacing w:line="500" w:lineRule="exact"/>
              <w:ind w:firstLine="200"/>
              <w:rPr>
                <w:rFonts w:ascii="宋体"/>
                <w:sz w:val="28"/>
              </w:rPr>
            </w:pPr>
            <w:r>
              <w:rPr>
                <w:rFonts w:hint="eastAsia" w:ascii="宋体"/>
                <w:sz w:val="28"/>
              </w:rPr>
              <w:t>（6）、微课中的教学内容很多来源于网络，因此,微课的资源十分丰富。</w:t>
            </w:r>
          </w:p>
          <w:p>
            <w:pPr>
              <w:spacing w:line="500" w:lineRule="exact"/>
              <w:ind w:firstLine="200"/>
              <w:rPr>
                <w:rFonts w:ascii="宋体"/>
                <w:sz w:val="28"/>
              </w:rPr>
            </w:pPr>
            <w:r>
              <w:rPr>
                <w:rFonts w:hint="eastAsia" w:ascii="宋体"/>
                <w:sz w:val="28"/>
              </w:rPr>
              <w:t>（7）、微课直观能用微观观点来解释一些常见现象。</w:t>
            </w:r>
          </w:p>
          <w:p>
            <w:pPr>
              <w:spacing w:line="500" w:lineRule="exact"/>
              <w:ind w:firstLine="200"/>
              <w:rPr>
                <w:rFonts w:ascii="宋体"/>
                <w:sz w:val="28"/>
              </w:rPr>
            </w:pPr>
            <w:r>
              <w:rPr>
                <w:rFonts w:hint="eastAsia" w:ascii="宋体"/>
                <w:sz w:val="28"/>
              </w:rPr>
              <w:t>微课可以把微观的、不可触摸的现象直观、形象地表现出来。例如，原子、分子、离子这类概念是比较抽象的，它们是看不见摸不着的，但却是实实在在存在的。对这部分内容的教学，大部分教师都是靠语言来阐述，但即便讲得再透彻，总会因学生的理解力和想象力存在差异，而出现对知识点似懂非懂，知其然而不知所以然等情况。此时，如果教师能够运用微课辅助教学，化抽象为具体，那么学生就可以很好地掌握微观概念了。</w:t>
            </w:r>
          </w:p>
          <w:p>
            <w:pPr>
              <w:spacing w:line="500" w:lineRule="exact"/>
              <w:ind w:firstLine="200"/>
              <w:rPr>
                <w:rFonts w:ascii="宋体"/>
                <w:sz w:val="28"/>
              </w:rPr>
            </w:pPr>
            <w:r>
              <w:rPr>
                <w:rFonts w:hint="eastAsia" w:ascii="宋体"/>
                <w:sz w:val="28"/>
              </w:rPr>
              <w:t>（8）、微课能将实验变得直观、安全、效果明显。</w:t>
            </w:r>
          </w:p>
          <w:p>
            <w:pPr>
              <w:spacing w:line="500" w:lineRule="exact"/>
              <w:ind w:firstLine="200"/>
              <w:rPr>
                <w:rFonts w:ascii="宋体"/>
                <w:sz w:val="28"/>
              </w:rPr>
            </w:pPr>
            <w:r>
              <w:rPr>
                <w:rFonts w:hint="eastAsia" w:ascii="宋体"/>
                <w:sz w:val="28"/>
              </w:rPr>
              <w:t>物理、化学、生物三门以实验为基础的学科，很多知识点的讲解都要配合实验，这就需要教师在课堂上做相关的演示实验。班级往往有40名学生以上， 教师在做实验的时候，很多坐在教室后排的学生无法看清实验，许多学生站起来， 甚至踮起脚尖，费力地观察。一些使用试管进行的实验，视力不好的学生根本看不到现象。教师在课堂上演示实验的时候，学生都感到兴奋，但是只看到教师做， 而看不到做什么， 这就让学生逐渐丧失了学习的兴趣。而将实验做成微课，清晰的现象配合教师的讲解让学生更直观地观察实验，学习效果更佳。而对于一些有危险的实验，利用微课则让实验更安全，更直观。</w:t>
            </w:r>
          </w:p>
          <w:p>
            <w:pPr>
              <w:spacing w:line="500" w:lineRule="exact"/>
              <w:ind w:firstLine="200"/>
              <w:rPr>
                <w:rFonts w:ascii="宋体"/>
                <w:sz w:val="28"/>
              </w:rPr>
            </w:pPr>
            <w:r>
              <w:rPr>
                <w:rFonts w:hint="eastAsia" w:ascii="宋体"/>
                <w:sz w:val="28"/>
              </w:rPr>
              <w:t>（9）、对现有的微课进行再创作，融入藏族元素，能够使学生通过更准备的理解相关知识内容。</w:t>
            </w:r>
          </w:p>
          <w:p>
            <w:pPr>
              <w:spacing w:line="500" w:lineRule="exact"/>
              <w:ind w:firstLine="200"/>
              <w:rPr>
                <w:rFonts w:ascii="宋体"/>
                <w:sz w:val="28"/>
              </w:rPr>
            </w:pPr>
            <w:r>
              <w:rPr>
                <w:rFonts w:hint="eastAsia" w:ascii="宋体"/>
                <w:sz w:val="28"/>
              </w:rPr>
              <w:t>由于内地西藏初中校的学生均来自西藏，藏语是学生的母语。而理科教学是用汉语进行授课，在听课中，存在汉语与藏语互译的过程，在互译时，难免有许多错误的地方，并且学生课堂理解和反应的速度较慢，给老师的感觉是藏族学生记忆力差、基础差，其实是语言差异和隔阂造成的学习障碍。我们在学生难懂的知识点的微视里插入藏语解释，这样大大的减小学生理解上的难度，同时提高了学生对知识的掌握的精确度。</w:t>
            </w:r>
          </w:p>
          <w:p>
            <w:pPr>
              <w:spacing w:line="500" w:lineRule="exact"/>
              <w:ind w:firstLine="200"/>
              <w:rPr>
                <w:rFonts w:ascii="宋体"/>
                <w:sz w:val="28"/>
              </w:rPr>
            </w:pPr>
            <w:r>
              <w:rPr>
                <w:rFonts w:hint="eastAsia" w:ascii="宋体"/>
                <w:sz w:val="28"/>
              </w:rPr>
              <w:t>（四）微课在内地西藏班初中校理科教学提高学生理科素养的研究</w:t>
            </w:r>
          </w:p>
          <w:p>
            <w:pPr>
              <w:spacing w:line="500" w:lineRule="exact"/>
              <w:ind w:firstLine="200"/>
              <w:rPr>
                <w:rFonts w:ascii="宋体"/>
                <w:sz w:val="28"/>
              </w:rPr>
            </w:pPr>
            <w:r>
              <w:rPr>
                <w:rFonts w:hint="eastAsia" w:ascii="宋体"/>
                <w:sz w:val="28"/>
              </w:rPr>
              <w:t>根据微课的特点与优点，根据朱曦教授的指导，以及内地西藏初中校学生的特点，我们开展了以下四个能力提高的研究，分别是：利用微课提高学生的计算能力、利用微课提高学生的实验能力、利用微课提高学生数形结合的解题能力、利用微课提高微观粒子模型应用能力。</w:t>
            </w:r>
          </w:p>
          <w:p>
            <w:pPr>
              <w:spacing w:line="500" w:lineRule="exact"/>
              <w:ind w:firstLine="200"/>
              <w:rPr>
                <w:rFonts w:ascii="宋体"/>
                <w:sz w:val="28"/>
              </w:rPr>
            </w:pPr>
            <w:r>
              <w:rPr>
                <w:rFonts w:hint="eastAsia" w:ascii="宋体"/>
                <w:sz w:val="28"/>
              </w:rPr>
              <w:t>（1）利用微课提高学生的计算能力</w:t>
            </w:r>
          </w:p>
          <w:p>
            <w:pPr>
              <w:spacing w:line="500" w:lineRule="exact"/>
              <w:ind w:firstLine="200"/>
              <w:rPr>
                <w:rFonts w:ascii="宋体"/>
                <w:sz w:val="28"/>
              </w:rPr>
            </w:pPr>
            <w:r>
              <w:rPr>
                <w:rFonts w:hint="eastAsia" w:ascii="宋体"/>
                <w:sz w:val="28"/>
              </w:rPr>
              <w:t>1、审题。学生计算出错一部分原因是审题不清，题目没看仔细，拿起来就做，反而导致错误。微课展示认真审题的过程，既是为培养思维，解题必须，同时又是为培养学生良好的解题习惯。微课中，教师用正确的读法读一遍，对于文字型的计算题，带着学生审题找出已知和未知，利用字幕等效果标注题目关键字词。对于单纯的计算题，教师要带领学生分析题目由哪几个部分组成，每个部分包含哪几个运算；按照一般的运算顺序，确定先算哪步，再算哪步，最后算哪步；每部分有哪些数据，有没有简便运算；如果有怎么算，你的根据是什么？</w:t>
            </w:r>
          </w:p>
          <w:p>
            <w:pPr>
              <w:spacing w:line="500" w:lineRule="exact"/>
              <w:ind w:firstLine="200"/>
              <w:rPr>
                <w:rFonts w:ascii="宋体"/>
                <w:sz w:val="28"/>
              </w:rPr>
            </w:pPr>
            <w:r>
              <w:rPr>
                <w:rFonts w:hint="eastAsia" w:ascii="宋体"/>
                <w:sz w:val="28"/>
              </w:rPr>
              <w:t>2、联想筛选。在微课设计中，引导学生从已知的概念、法则出发有依据地构建新算法。数学的运算都是从概念和法则出发，没有依据的算法构建是错误的。如学生没有理解合并同类二次根式就利用乘法分配律进行合并，类似于合并同类项，不是同类二次根式不能合并。结合目标和问题特征联想用什么性质、方法或者运算律，比如：解一元一次方程考虑等式的性质;因式分解可以考虑提公因式法、公式法、十字相乘法;整式的乘法考虑乘法交换律、乘法结合律或者乘法分配律。这样学生才能根据题目的特征筛选方法，进而思考怎么算。</w:t>
            </w:r>
          </w:p>
          <w:p>
            <w:pPr>
              <w:spacing w:line="500" w:lineRule="exact"/>
              <w:ind w:firstLine="200"/>
              <w:rPr>
                <w:rFonts w:ascii="宋体"/>
                <w:sz w:val="28"/>
              </w:rPr>
            </w:pPr>
            <w:r>
              <w:rPr>
                <w:rFonts w:hint="eastAsia" w:ascii="宋体"/>
                <w:sz w:val="28"/>
              </w:rPr>
              <w:t>3、实施计算。根据短时记忆理论要求强调感知与操作同步。利用微课展示细致的运算动作，培养学生细致的运算习惯。微课要展示计算的动作过程，把谁与谁计算，结果是什么的思维过程，运算要先定符号，后定绝对值。注意运算顺序，不乱使用运算律来简化运算过程。教师要展示确定先算哪一步，后算哪一步，不跳步。微课还要展示草稿的运算过程。</w:t>
            </w:r>
          </w:p>
          <w:p>
            <w:pPr>
              <w:spacing w:line="500" w:lineRule="exact"/>
              <w:ind w:firstLine="200"/>
              <w:rPr>
                <w:rFonts w:ascii="宋体"/>
                <w:sz w:val="28"/>
              </w:rPr>
            </w:pPr>
            <w:r>
              <w:rPr>
                <w:rFonts w:hint="eastAsia" w:ascii="宋体"/>
                <w:sz w:val="28"/>
              </w:rPr>
              <w:t>4、学生计算错误有一部分是因为格式书写不规范，导致思维混乱，或者由于格式错误被扣分，或者符号数字不规范，导致抄错数。因此，微课展示要规范的书写格式，培养学生良好的书写习惯。规范的书写格式可以准确地表达运算的思路和步骤。</w:t>
            </w:r>
          </w:p>
          <w:p>
            <w:pPr>
              <w:spacing w:line="500" w:lineRule="exact"/>
              <w:ind w:firstLine="200"/>
              <w:rPr>
                <w:rFonts w:ascii="宋体"/>
                <w:sz w:val="28"/>
              </w:rPr>
            </w:pPr>
            <w:r>
              <w:rPr>
                <w:rFonts w:hint="eastAsia" w:ascii="宋体"/>
                <w:sz w:val="28"/>
              </w:rPr>
              <w:t>5、反思小结。根据短时记忆的理论，在微课设计中，利用字幕板书，把短时记忆转入长期记忆，形成解题的程序化。短时记忆不足也是学生计算有误的原因之一。每一类计算题都有一定的运算程序。在微课中利用电脑软件加入相应运算的步骤的板书字幕，把每步的动作过程精简为语句信息，便于学生形成长期记忆。</w:t>
            </w:r>
          </w:p>
          <w:p>
            <w:pPr>
              <w:spacing w:line="500" w:lineRule="exact"/>
              <w:ind w:firstLine="200"/>
              <w:rPr>
                <w:rFonts w:ascii="宋体"/>
                <w:sz w:val="28"/>
              </w:rPr>
            </w:pPr>
            <w:r>
              <w:rPr>
                <w:rFonts w:hint="eastAsia" w:ascii="宋体"/>
                <w:sz w:val="28"/>
              </w:rPr>
              <w:t>6、错题订正。由于学生的接受能力不同，往往有的学生还不能理解一些计算的技巧，从而导致解题错误。为了能够使学生在订正时真正理解此类计算题的解题技巧，将这一类的题目的解题过程做成微课，利用微课的可重性，播放给做错此类题目的学生看，直到看懂为此，同时通过订正，能够真正掌握解此类计算题的方法。</w:t>
            </w:r>
          </w:p>
          <w:p>
            <w:pPr>
              <w:spacing w:line="500" w:lineRule="exact"/>
              <w:ind w:firstLine="200"/>
              <w:rPr>
                <w:rFonts w:ascii="宋体"/>
                <w:sz w:val="28"/>
              </w:rPr>
            </w:pPr>
            <w:r>
              <w:rPr>
                <w:rFonts w:hint="eastAsia" w:ascii="宋体"/>
                <w:sz w:val="28"/>
              </w:rPr>
              <w:t>（2）利用微课提高学生的实验能力</w:t>
            </w:r>
          </w:p>
          <w:p>
            <w:pPr>
              <w:spacing w:line="500" w:lineRule="exact"/>
              <w:ind w:firstLine="200"/>
              <w:rPr>
                <w:rFonts w:ascii="宋体"/>
                <w:sz w:val="28"/>
              </w:rPr>
            </w:pPr>
            <w:r>
              <w:rPr>
                <w:rFonts w:hint="eastAsia" w:ascii="宋体"/>
                <w:sz w:val="28"/>
              </w:rPr>
              <w:t>1、利用微课，提高学生的实验操作技能能力。</w:t>
            </w:r>
          </w:p>
          <w:p>
            <w:pPr>
              <w:spacing w:line="500" w:lineRule="exact"/>
              <w:ind w:firstLine="200"/>
              <w:rPr>
                <w:rFonts w:ascii="宋体"/>
                <w:sz w:val="28"/>
              </w:rPr>
            </w:pPr>
            <w:r>
              <w:rPr>
                <w:rFonts w:hint="eastAsia" w:ascii="宋体"/>
                <w:sz w:val="28"/>
              </w:rPr>
              <w:t>技能性实验重点在于培养学生的实验操作技能，提高学生的动手能力。对于这部分内容教师尽量少讲，让学生 “从做中学”。例如，在 “练习使用显微镜”的实验中，在学生预习的基础上，不讲实验的操作，让学生自己使用显微镜，有的学生很快看到了细胞，有的学生不知道怎么用，着急地想办法 （翻书、请教别人等）解决。在电子白板上滚动播放 “练习使用显微镜”的微课，不会操作的学生从微课中模仿，从而掌握了使用显微镜的方法。微课为学生节约了课堂时间，给学生提供了更多动手操作的机会.对于教学时间紧张、实验条件差、没有实验员，无法进行实验教学时，可利用微课进行适当的弥补,以提高实验教学效果。</w:t>
            </w:r>
          </w:p>
          <w:p>
            <w:pPr>
              <w:spacing w:line="500" w:lineRule="exact"/>
              <w:ind w:firstLine="200"/>
              <w:rPr>
                <w:rFonts w:ascii="宋体"/>
                <w:sz w:val="28"/>
              </w:rPr>
            </w:pPr>
            <w:r>
              <w:rPr>
                <w:rFonts w:hint="eastAsia" w:ascii="宋体"/>
                <w:sz w:val="28"/>
              </w:rPr>
              <w:t>2、提升学生的实验设计能力</w:t>
            </w:r>
          </w:p>
          <w:p>
            <w:pPr>
              <w:spacing w:line="500" w:lineRule="exact"/>
              <w:ind w:firstLine="200"/>
              <w:rPr>
                <w:rFonts w:ascii="宋体"/>
                <w:sz w:val="28"/>
              </w:rPr>
            </w:pPr>
            <w:r>
              <w:rPr>
                <w:rFonts w:hint="eastAsia" w:ascii="宋体"/>
                <w:sz w:val="28"/>
              </w:rPr>
              <w:t>在教育改革背景下，人们对初中物理实验的教学更为重视，要求学生不仅仅要掌握课本上相关的物理知识点，同时还要具备良好的实验操作动手能力和实验设计能力，提升学生的物理思维。从以前的物理实验教学方法来看，很多教师都会在课堂上演示物理实验，但是一个班级的人数众多，很多学生并不能清楚地观看到物理实验的整个过程。当学生自己动手实验时，就会出现很多问题。实验过程中常常出现实验步骤错误、实验线路连接不当等情况，最终导致实验失败。而教师在物理实验中引入微课，就可以通过微课将实验的每一个流程和步骤演示出来，同时还能够图文并茂进行讲解，让学生理清实验过程，掌握实验原理，在自己动手实验时就知道该如何操作，最终提升学生的实验设计能力。</w:t>
            </w:r>
          </w:p>
          <w:p>
            <w:pPr>
              <w:spacing w:line="500" w:lineRule="exact"/>
              <w:ind w:firstLine="200"/>
              <w:rPr>
                <w:rFonts w:ascii="宋体"/>
                <w:sz w:val="28"/>
              </w:rPr>
            </w:pPr>
            <w:r>
              <w:rPr>
                <w:rFonts w:hint="eastAsia" w:ascii="宋体"/>
                <w:sz w:val="28"/>
              </w:rPr>
              <w:t>3、提升学生处理实验数据能力</w:t>
            </w:r>
          </w:p>
          <w:p>
            <w:pPr>
              <w:spacing w:line="500" w:lineRule="exact"/>
              <w:ind w:firstLine="200"/>
              <w:rPr>
                <w:rFonts w:ascii="宋体"/>
                <w:sz w:val="28"/>
              </w:rPr>
            </w:pPr>
            <w:r>
              <w:rPr>
                <w:rFonts w:hint="eastAsia" w:ascii="宋体"/>
                <w:sz w:val="28"/>
              </w:rPr>
              <w:t>实验课后引入微课，是因为物理、化学实验数据处理将运用大量数学知识，所以课后制作一个关于数据处理的微课教学视频。学生通过学习微课，对数据做出正确处理分析，从而得出真实的结论和规律。大多数学生不会处理数据，就是学着尝试处理的数据也有很多地方不很科学和规范。教师可以将实验数据制作成微课，让学生通过观看微课，学习实验数据处理的方法，从而提高学生处理数据的效率和能力。</w:t>
            </w:r>
          </w:p>
          <w:p>
            <w:pPr>
              <w:spacing w:line="500" w:lineRule="exact"/>
              <w:ind w:firstLine="200"/>
              <w:rPr>
                <w:rFonts w:ascii="宋体"/>
                <w:sz w:val="28"/>
              </w:rPr>
            </w:pPr>
            <w:r>
              <w:rPr>
                <w:rFonts w:hint="eastAsia" w:ascii="宋体"/>
                <w:sz w:val="28"/>
              </w:rPr>
              <w:t>（3）利用微课提高学生数形结合的解题能力</w:t>
            </w:r>
          </w:p>
          <w:p>
            <w:pPr>
              <w:spacing w:line="500" w:lineRule="exact"/>
              <w:ind w:firstLine="200"/>
              <w:rPr>
                <w:rFonts w:ascii="宋体"/>
                <w:sz w:val="28"/>
              </w:rPr>
            </w:pPr>
            <w:r>
              <w:rPr>
                <w:rFonts w:hint="eastAsia" w:ascii="宋体"/>
                <w:sz w:val="28"/>
              </w:rPr>
              <w:t>数学是关于“数”和“形”的科学，数形结合缘于数学“数”和“形”的密不可分，“数”和“形”是数学两个基本的元素，只有将两者紧密结合起来才能有效地理解数学，只有具备数形结合的思想才能更好地理解和掌握数学，才能更好地利用其思想解决数学问题。数学学习是一个循序渐进不断积累的过程，微课使数学学习的过程具有了动态可视化的效果。</w:t>
            </w:r>
          </w:p>
          <w:p>
            <w:pPr>
              <w:spacing w:line="500" w:lineRule="exact"/>
              <w:ind w:firstLine="200"/>
              <w:rPr>
                <w:rFonts w:ascii="宋体"/>
                <w:sz w:val="28"/>
              </w:rPr>
            </w:pPr>
            <w:r>
              <w:rPr>
                <w:rFonts w:hint="eastAsia" w:ascii="宋体"/>
                <w:sz w:val="28"/>
              </w:rPr>
              <w:t>通过应用数学软件，建立“数”和“形”的关联，建立“数”和“形”的动态直观可视化表示方式，利用录屏软件，将屏幕上出现的内容做成微课，通过播放微课，学生们可以看到不仅将数和形联系起来，而且还将数与形的变化关系显示出来，数的变化决定了图形的变化以及如何变化，图的变化联系着数的参数变化，将图动态调控渐变，整个过程数和形的关系一目了然。直观形象地掌握函数的性质，既包括宏观的，也包括微观的，还可以是整体的。如果有学生还不懂，可以利用微课的可重复的优点和个性化的优点，继续利用课后时间观看解题过程，直至弄明白为止。</w:t>
            </w:r>
          </w:p>
          <w:p>
            <w:pPr>
              <w:spacing w:line="500" w:lineRule="exact"/>
              <w:ind w:firstLine="200"/>
              <w:rPr>
                <w:rFonts w:ascii="宋体"/>
                <w:sz w:val="28"/>
              </w:rPr>
            </w:pPr>
            <w:r>
              <w:rPr>
                <w:rFonts w:hint="eastAsia" w:ascii="宋体"/>
                <w:sz w:val="28"/>
              </w:rPr>
              <w:t>经过一段时间使用微课后，在头脑中建立“数”和“形”的联想和再现，由代数想图形，或由图形想代数符号，找到两者的对应关系，建立数和形的联系。数学本身就是由数和形组合的，通过数和形的直观动态可视过程，在头脑中形成数学概念、性质等的“字、数、形”结合体，也就是看到数，便能马上想到形，看到形便能马上想到数。头脑中的数形还是可视和动态的，形成一种条件反射式的数形结合体，力求体现数与形结合的基本思想，将“图、式、文”这三种数学的最基本表现元素进行分类编排，组合搭配，培养学生的识图能力以及文字、式子与图形的转换能力。</w:t>
            </w:r>
          </w:p>
          <w:p>
            <w:pPr>
              <w:spacing w:line="500" w:lineRule="exact"/>
              <w:ind w:firstLine="200"/>
              <w:rPr>
                <w:rFonts w:ascii="宋体"/>
                <w:sz w:val="28"/>
              </w:rPr>
            </w:pPr>
            <w:r>
              <w:rPr>
                <w:rFonts w:hint="eastAsia" w:ascii="宋体"/>
                <w:sz w:val="28"/>
              </w:rPr>
              <w:t>（4）利用微课提高学生微观粒子模型应用能力</w:t>
            </w:r>
          </w:p>
          <w:p>
            <w:pPr>
              <w:spacing w:line="500" w:lineRule="exact"/>
              <w:ind w:firstLine="200"/>
              <w:rPr>
                <w:rFonts w:ascii="宋体"/>
                <w:sz w:val="28"/>
              </w:rPr>
            </w:pPr>
            <w:r>
              <w:rPr>
                <w:rFonts w:hint="eastAsia" w:ascii="宋体"/>
                <w:sz w:val="28"/>
              </w:rPr>
              <w:t>一些在课堂上很难讲清的化学概念、化学规律的形成过程、某些物质的结构、学生理解起来比较困难，微课的应用以其丰富的表现力能很好地解决这些问题，特别是对学生平时无法观察的难以了解的知识更显示出巨大的作用。例如，可以利用微课将水通电分解的过程即水分子分裂成氢、氧原子，原子重新组合成氢分子和氧分子的过程展示出来，微课能使许多肉眼看不见的反应过程变成生动有趣的化学过程。又例如，在学习离子化合物的形成，利用微课展示Na原子、Cl原子的结构示意图，再通过微课生动形象的模拟Na原子、Cl原子得失电子形成NaCl这一过程，从而使学生们对离子的形成这一知识点理解得非常透彻。比如在《原子的构成》中“核外电子排布”，虽然我们可以通过课本上的图片来解释，也可以用相关模型进行直观教学，但实际效果并不理想。前者由于缺乏动感而使学生误以为电子的运动有一定的规律，后者则会让学生认为原子是一些实心的几何体。而微课则可以很直观的展示出原子的构成和核外电子的运动。</w:t>
            </w:r>
          </w:p>
          <w:p>
            <w:pPr>
              <w:spacing w:line="500" w:lineRule="exact"/>
              <w:ind w:firstLine="200"/>
              <w:rPr>
                <w:rFonts w:ascii="宋体"/>
                <w:sz w:val="28"/>
              </w:rPr>
            </w:pPr>
            <w:r>
              <w:rPr>
                <w:rFonts w:hint="eastAsia" w:ascii="宋体"/>
                <w:sz w:val="28"/>
              </w:rPr>
              <w:t>在化学教学中，由于微观粒子及其结合、运动和排列的不可感知性，多数学生对物质微观结构的相关知识都感到比较抽象、难于理解，而微课的应用解决了这一难题。由于学生的对微观粒子结构在头脑中形成了正确的模型，从而学生利用这些模型解决问题的能力提高了。</w:t>
            </w:r>
          </w:p>
          <w:p>
            <w:pPr>
              <w:spacing w:line="500" w:lineRule="exact"/>
              <w:ind w:firstLine="200"/>
              <w:rPr>
                <w:rFonts w:ascii="宋体"/>
                <w:sz w:val="28"/>
              </w:rPr>
            </w:pPr>
            <w:r>
              <w:rPr>
                <w:rFonts w:hint="eastAsia" w:ascii="宋体"/>
                <w:sz w:val="28"/>
              </w:rPr>
              <w:t>六、课题研究的价值与社会效益</w:t>
            </w:r>
          </w:p>
          <w:p>
            <w:pPr>
              <w:spacing w:line="500" w:lineRule="exact"/>
              <w:ind w:firstLine="200"/>
              <w:rPr>
                <w:rFonts w:ascii="宋体"/>
                <w:sz w:val="28"/>
              </w:rPr>
            </w:pPr>
            <w:r>
              <w:rPr>
                <w:rFonts w:hint="eastAsia" w:ascii="宋体"/>
                <w:sz w:val="28"/>
              </w:rPr>
              <w:t>1、理论价值</w:t>
            </w:r>
          </w:p>
          <w:p>
            <w:pPr>
              <w:spacing w:line="500" w:lineRule="exact"/>
              <w:ind w:firstLine="200"/>
              <w:rPr>
                <w:rFonts w:ascii="宋体"/>
                <w:sz w:val="28"/>
              </w:rPr>
            </w:pPr>
            <w:r>
              <w:rPr>
                <w:rFonts w:hint="eastAsia" w:ascii="宋体"/>
                <w:sz w:val="28"/>
              </w:rPr>
              <w:t>二年来，我们利用课题作为抓手，努力推进学校理科教学课堂的改革，课题研究有效地推进了学校发展，也为同类型的内地西藏校教育教学提供了可以借鉴的经验。在课题的研究中，核心组成员发表及获奖相关论文5篇。</w:t>
            </w:r>
          </w:p>
          <w:p>
            <w:pPr>
              <w:spacing w:line="500" w:lineRule="exact"/>
              <w:ind w:firstLine="200"/>
              <w:rPr>
                <w:rFonts w:ascii="宋体"/>
                <w:sz w:val="28"/>
              </w:rPr>
            </w:pPr>
            <w:r>
              <w:rPr>
                <w:rFonts w:hint="eastAsia" w:ascii="宋体"/>
                <w:sz w:val="28"/>
              </w:rPr>
              <w:t>2、实践价值</w:t>
            </w:r>
          </w:p>
          <w:p>
            <w:pPr>
              <w:spacing w:line="500" w:lineRule="exact"/>
              <w:ind w:firstLine="200"/>
              <w:rPr>
                <w:rFonts w:ascii="宋体"/>
                <w:sz w:val="28"/>
              </w:rPr>
            </w:pPr>
            <w:r>
              <w:rPr>
                <w:rFonts w:hint="eastAsia" w:ascii="宋体"/>
                <w:sz w:val="28"/>
              </w:rPr>
              <w:t>（1）通过课题的研究，使微课在课堂里大量使用，提高了课堂效率。这两年来，课题核心组成员共上了20节展示课或校际课，在课上大量的使用了微课，使学生能够轻松掌握相关知识点，得到同行们的大加赞赏。通过微课的使用，教师们改变了传统的教学模式，为学校的课堂改革提供了一个有效研究途径。</w:t>
            </w:r>
          </w:p>
          <w:p>
            <w:pPr>
              <w:spacing w:line="500" w:lineRule="exact"/>
              <w:ind w:firstLine="200"/>
              <w:rPr>
                <w:rFonts w:ascii="宋体"/>
                <w:sz w:val="28"/>
              </w:rPr>
            </w:pPr>
            <w:r>
              <w:rPr>
                <w:rFonts w:hint="eastAsia" w:ascii="宋体"/>
                <w:sz w:val="28"/>
              </w:rPr>
              <w:t>（2）通过课题的研究学校理科老师信息技术水平较以前大大提高，悄悄改变了教师的行为，为学校的互联网+的课堂研究打下基础。学校在参加2019年江苏省“五四”杯初中青年教师微课征集活动时，其中有三位核心成员获奖，二位获二等奖，一位获三等奖。</w:t>
            </w:r>
          </w:p>
          <w:p>
            <w:pPr>
              <w:spacing w:line="500" w:lineRule="exact"/>
              <w:ind w:firstLine="200"/>
              <w:rPr>
                <w:rFonts w:ascii="宋体"/>
                <w:sz w:val="28"/>
              </w:rPr>
            </w:pPr>
            <w:r>
              <w:rPr>
                <w:rFonts w:hint="eastAsia" w:ascii="宋体"/>
                <w:sz w:val="28"/>
              </w:rPr>
              <w:t xml:space="preserve">3、社会效益 </w:t>
            </w:r>
          </w:p>
          <w:p>
            <w:pPr>
              <w:spacing w:line="500" w:lineRule="exact"/>
              <w:ind w:firstLine="200"/>
              <w:rPr>
                <w:rFonts w:ascii="宋体"/>
                <w:sz w:val="28"/>
              </w:rPr>
            </w:pPr>
            <w:r>
              <w:rPr>
                <w:rFonts w:hint="eastAsia" w:ascii="宋体"/>
                <w:sz w:val="28"/>
              </w:rPr>
              <w:t>在本课题研究中，参与课的成员制作了大量的微课，这些微课是对内地西藏初中校学生的理科学情所开发的，具体的很强的针对性。学校将将些微课上传到学校网站上供所需人员下载，为内地西藏初中校理科教学研究提供支持。</w:t>
            </w:r>
          </w:p>
          <w:p>
            <w:pPr>
              <w:spacing w:line="500" w:lineRule="exact"/>
              <w:ind w:firstLine="200"/>
              <w:rPr>
                <w:rFonts w:ascii="宋体"/>
                <w:sz w:val="28"/>
              </w:rPr>
            </w:pPr>
            <w:r>
              <w:rPr>
                <w:rFonts w:hint="eastAsia" w:ascii="宋体"/>
                <w:sz w:val="28"/>
              </w:rPr>
              <w:t>结语：《教育信息化十年发展规划（2011-2020年）》指出：推进信息技术与教学融合。建设智能化教学环境，提供优质数字教育资源和软件工具，利用信息技术开展启发式、探究式、讨论式、参与式教学，鼓励发展性评价，探索建立以学习者为中心的教学新模式，倡导网络校际协作学习，提高信息化教学水平。民族教育呼唤信息技术与教学的融合。通过整合，打造真正以生为本的课堂，从而更好的为民族教育事业作出贡献！当然，内地西藏校教育教学的巨大挑战和实践空间也给我们的研究提供了机遇和价值。</w:t>
            </w:r>
          </w:p>
          <w:p>
            <w:pPr>
              <w:spacing w:line="500" w:lineRule="exact"/>
              <w:ind w:firstLine="200"/>
              <w:rPr>
                <w:rFonts w:ascii="宋体"/>
                <w:sz w:val="28"/>
              </w:rPr>
            </w:pPr>
            <w:r>
              <w:rPr>
                <w:rFonts w:hint="eastAsia" w:ascii="宋体"/>
                <w:sz w:val="28"/>
              </w:rPr>
              <w:t>但是，在实际研究中我们还存在一些问题和不足：理论素养不够，思路不够开阔，在很多问题的思考上还有一定的局限性。比如，我们对民族交流、交往、交融的理解还有一定的局限性；在教育教学中对学生的个性化特点研究和关注不足，特别是如何将藏民族特有的元素融入到教学中还研究得不够。与预期的成果相比，我们对课题的成果提炼和汇总方面做得还很薄弱。</w:t>
            </w:r>
          </w:p>
          <w:p>
            <w:pPr>
              <w:spacing w:line="500" w:lineRule="exact"/>
              <w:ind w:firstLine="200"/>
              <w:rPr>
                <w:rFonts w:ascii="宋体"/>
                <w:sz w:val="28"/>
              </w:rPr>
            </w:pPr>
            <w:r>
              <w:rPr>
                <w:rFonts w:hint="eastAsia" w:ascii="宋体"/>
                <w:sz w:val="28"/>
              </w:rPr>
              <w:t>课题的结题并不意味着研究的结束，我们将继续且行且思，努力通过面向内地西藏校教学管理的“和美”教育的研究和行动赋予民族教育崭新的含义。</w:t>
            </w:r>
          </w:p>
          <w:p>
            <w:pPr>
              <w:spacing w:line="500" w:lineRule="exact"/>
              <w:rPr>
                <w:rFonts w:ascii="宋体"/>
                <w:sz w:val="28"/>
              </w:rPr>
            </w:pPr>
          </w:p>
          <w:p>
            <w:pPr>
              <w:spacing w:line="500" w:lineRule="exact"/>
              <w:rPr>
                <w:rFonts w:ascii="宋体"/>
                <w:sz w:val="28"/>
              </w:rPr>
            </w:pPr>
            <w:r>
              <w:rPr>
                <w:rFonts w:hint="eastAsia" w:ascii="宋体"/>
                <w:sz w:val="28"/>
              </w:rPr>
              <w:t>参考文献：</w:t>
            </w:r>
          </w:p>
          <w:p>
            <w:pPr>
              <w:spacing w:line="500" w:lineRule="exact"/>
              <w:rPr>
                <w:rFonts w:ascii="宋体"/>
                <w:sz w:val="28"/>
              </w:rPr>
            </w:pPr>
            <w:r>
              <w:rPr>
                <w:rFonts w:hint="eastAsia" w:ascii="宋体"/>
                <w:sz w:val="28"/>
              </w:rPr>
              <w:t>[1]郭纪标.学校文化变革丛书：教育之道，道在心灵 [M]. 华东师范大学出版社,2014.</w:t>
            </w:r>
          </w:p>
          <w:p>
            <w:pPr>
              <w:spacing w:line="500" w:lineRule="exact"/>
              <w:rPr>
                <w:rFonts w:ascii="宋体"/>
                <w:sz w:val="28"/>
              </w:rPr>
            </w:pPr>
            <w:r>
              <w:rPr>
                <w:rFonts w:hint="eastAsia" w:ascii="宋体"/>
                <w:sz w:val="28"/>
              </w:rPr>
              <w:t>[2]胡弗曼,海普著,贺凤美译.学习型学校的文化重构[M].中国轻工业出版社,2006.</w:t>
            </w:r>
          </w:p>
          <w:p>
            <w:pPr>
              <w:spacing w:line="500" w:lineRule="exact"/>
              <w:rPr>
                <w:rFonts w:ascii="宋体"/>
                <w:sz w:val="28"/>
              </w:rPr>
            </w:pPr>
            <w:r>
              <w:rPr>
                <w:rFonts w:hint="eastAsia" w:ascii="宋体"/>
                <w:sz w:val="28"/>
              </w:rPr>
              <w:t>[3]怀特海著,庄莲平译,教育的目的[M].文汇出版社,2012.</w:t>
            </w:r>
          </w:p>
          <w:p>
            <w:pPr>
              <w:spacing w:line="500" w:lineRule="exact"/>
              <w:rPr>
                <w:rFonts w:ascii="宋体"/>
                <w:sz w:val="28"/>
              </w:rPr>
            </w:pPr>
            <w:r>
              <w:rPr>
                <w:rFonts w:hint="eastAsia" w:ascii="宋体"/>
                <w:sz w:val="28"/>
              </w:rPr>
              <w:t>[4]迈克尔•富兰.教育变革的新意义[M].教育科学出版社,2006.</w:t>
            </w:r>
          </w:p>
          <w:p>
            <w:pPr>
              <w:spacing w:line="500" w:lineRule="exact"/>
              <w:rPr>
                <w:rFonts w:ascii="宋体"/>
                <w:sz w:val="28"/>
              </w:rPr>
            </w:pPr>
            <w:r>
              <w:rPr>
                <w:rFonts w:hint="eastAsia" w:ascii="宋体"/>
                <w:sz w:val="28"/>
              </w:rPr>
              <w:t>[5]石中英.知识转型与教育改革[M].教育科学出版社,2001.</w:t>
            </w:r>
          </w:p>
          <w:p>
            <w:pPr>
              <w:spacing w:line="500" w:lineRule="exact"/>
              <w:rPr>
                <w:rFonts w:ascii="宋体"/>
                <w:sz w:val="28"/>
              </w:rPr>
            </w:pPr>
            <w:r>
              <w:rPr>
                <w:rFonts w:hint="eastAsia" w:ascii="宋体"/>
                <w:sz w:val="28"/>
              </w:rPr>
              <w:t>[6]莎郎•D•克鲁斯,凯伦•S•克鲁斯著,朱炜译.建构强大的学校文化:一种引领学校变革的指南[M].北京大学出版社,2013.</w:t>
            </w:r>
          </w:p>
          <w:p>
            <w:pPr>
              <w:spacing w:line="500" w:lineRule="exact"/>
              <w:rPr>
                <w:rFonts w:ascii="宋体"/>
                <w:sz w:val="28"/>
              </w:rPr>
            </w:pPr>
            <w:r>
              <w:rPr>
                <w:rFonts w:hint="eastAsia" w:ascii="宋体"/>
                <w:sz w:val="28"/>
              </w:rPr>
              <w:t>[7]沈宗濂.西藏和西藏人[M].中国藏学出版社,2014.</w:t>
            </w:r>
          </w:p>
          <w:p>
            <w:pPr>
              <w:spacing w:line="500" w:lineRule="exact"/>
              <w:rPr>
                <w:rFonts w:ascii="宋体"/>
                <w:sz w:val="28"/>
              </w:rPr>
            </w:pPr>
            <w:r>
              <w:rPr>
                <w:rFonts w:hint="eastAsia" w:ascii="宋体"/>
                <w:sz w:val="28"/>
              </w:rPr>
              <w:t>[8]雷召海.关于内地西藏班（校）办学模式的政策分析——以武汉西藏中学为例[J].民族教育研究,2012(4).</w:t>
            </w:r>
          </w:p>
          <w:p>
            <w:pPr>
              <w:spacing w:line="500" w:lineRule="exact"/>
              <w:rPr>
                <w:rFonts w:ascii="宋体"/>
                <w:sz w:val="28"/>
              </w:rPr>
            </w:pPr>
            <w:r>
              <w:rPr>
                <w:rFonts w:hint="eastAsia" w:ascii="宋体"/>
                <w:sz w:val="28"/>
              </w:rPr>
              <w:t>[9]冉苒，张长英.内地西藏班（校）初中生主观幸福感研究[J].贵州民族研究，2013(1).</w:t>
            </w:r>
          </w:p>
          <w:p>
            <w:pPr>
              <w:spacing w:line="500" w:lineRule="exact"/>
              <w:rPr>
                <w:rFonts w:ascii="宋体"/>
                <w:sz w:val="28"/>
              </w:rPr>
            </w:pPr>
            <w:r>
              <w:rPr>
                <w:rFonts w:hint="eastAsia" w:ascii="宋体"/>
                <w:sz w:val="28"/>
              </w:rPr>
              <w:t>[10]晓聪.教育部民族教育司2014年工作要点[J]．民族教育研究，2014(3).</w:t>
            </w:r>
          </w:p>
          <w:p>
            <w:pPr>
              <w:spacing w:line="500" w:lineRule="exact"/>
              <w:rPr>
                <w:rFonts w:ascii="宋体"/>
                <w:sz w:val="28"/>
              </w:rPr>
            </w:pPr>
            <w:r>
              <w:rPr>
                <w:rFonts w:hint="eastAsia" w:ascii="宋体"/>
                <w:sz w:val="28"/>
              </w:rPr>
              <w:t>[11]严庆,刘雪杉. 民族交往:提升民族团结教育实效性的关键——以内地西藏班(校)为例[J]. 西藏民族学院学报(哲学社会科学版),2011,04:91-95.</w:t>
            </w:r>
          </w:p>
          <w:p>
            <w:pPr>
              <w:spacing w:line="500" w:lineRule="exact"/>
              <w:rPr>
                <w:rFonts w:ascii="宋体"/>
                <w:sz w:val="28"/>
              </w:rPr>
            </w:pPr>
            <w:r>
              <w:rPr>
                <w:rFonts w:hint="eastAsia" w:ascii="宋体"/>
                <w:sz w:val="28"/>
              </w:rPr>
              <w:t>[12]严庆.浅析内地西藏班（校）师生的文化适应[J]．民族教育研究，2009(2).</w:t>
            </w:r>
          </w:p>
          <w:p>
            <w:pPr>
              <w:spacing w:line="500" w:lineRule="exact"/>
              <w:rPr>
                <w:rFonts w:ascii="宋体"/>
                <w:sz w:val="28"/>
              </w:rPr>
            </w:pPr>
            <w:r>
              <w:rPr>
                <w:rFonts w:hint="eastAsia" w:ascii="宋体"/>
                <w:sz w:val="28"/>
              </w:rPr>
              <w:t>[13]李文彩.“微课”在初中物理实验教学中的应用[J]．中小学实验与装备，2018(6).</w:t>
            </w:r>
          </w:p>
          <w:p>
            <w:pPr>
              <w:spacing w:line="500" w:lineRule="exact"/>
              <w:rPr>
                <w:rFonts w:ascii="宋体"/>
                <w:sz w:val="28"/>
              </w:rPr>
            </w:pPr>
            <w:r>
              <w:rPr>
                <w:rFonts w:hint="eastAsia" w:ascii="宋体"/>
                <w:sz w:val="28"/>
              </w:rPr>
              <w:t>[14]伊兴华.“微课”助推物理实验教学课堂[J]．课程教育研究，2019(42).</w:t>
            </w:r>
          </w:p>
          <w:p>
            <w:pPr>
              <w:spacing w:line="500" w:lineRule="exact"/>
              <w:rPr>
                <w:rFonts w:ascii="宋体"/>
                <w:sz w:val="28"/>
              </w:rPr>
            </w:pPr>
            <w:r>
              <w:rPr>
                <w:rFonts w:hint="eastAsia" w:ascii="宋体"/>
                <w:sz w:val="28"/>
              </w:rPr>
              <w:t>[15]曾荣.“学”即研究—以研究性学习引领学生数学素养的形成[J]．江苏教育，2016(6).</w:t>
            </w:r>
          </w:p>
          <w:p>
            <w:pPr>
              <w:spacing w:line="500" w:lineRule="exact"/>
              <w:rPr>
                <w:rFonts w:ascii="宋体"/>
                <w:sz w:val="28"/>
              </w:rPr>
            </w:pPr>
            <w:r>
              <w:rPr>
                <w:rFonts w:hint="eastAsia" w:ascii="宋体"/>
                <w:sz w:val="28"/>
              </w:rPr>
              <w:t>[16]张涛.充分发挥互联网的教学优势 享受微课翻转课堂的精彩[J]．中国校外教育，2015(5).</w:t>
            </w:r>
          </w:p>
          <w:p>
            <w:pPr>
              <w:spacing w:line="500" w:lineRule="exact"/>
              <w:rPr>
                <w:rFonts w:ascii="宋体"/>
                <w:sz w:val="28"/>
              </w:rPr>
            </w:pPr>
            <w:r>
              <w:rPr>
                <w:rFonts w:hint="eastAsia" w:ascii="宋体"/>
                <w:sz w:val="28"/>
              </w:rPr>
              <w:t>[17]许紫炜.初中化学实验微课运用于实验教学的研究[J]．云南化工，2018(12).</w:t>
            </w:r>
          </w:p>
          <w:p>
            <w:pPr>
              <w:spacing w:line="500" w:lineRule="exact"/>
              <w:rPr>
                <w:rFonts w:ascii="宋体"/>
                <w:sz w:val="28"/>
              </w:rPr>
            </w:pPr>
            <w:r>
              <w:rPr>
                <w:rFonts w:hint="eastAsia" w:ascii="宋体"/>
                <w:sz w:val="28"/>
              </w:rPr>
              <w:t>[18]金立.基于物理学科素养的高中物理教学策略[J]．湖南中学物理，2016(3).</w:t>
            </w:r>
          </w:p>
          <w:p>
            <w:pPr>
              <w:spacing w:line="500" w:lineRule="exact"/>
              <w:rPr>
                <w:rFonts w:ascii="宋体"/>
                <w:sz w:val="28"/>
              </w:rPr>
            </w:pPr>
            <w:r>
              <w:rPr>
                <w:rFonts w:hint="eastAsia" w:ascii="宋体"/>
                <w:sz w:val="28"/>
              </w:rPr>
              <w:t>[19]牛利霞.加强数形结合，提高解题能力[J]．新课程下旬，2012(2).</w:t>
            </w:r>
          </w:p>
          <w:p>
            <w:pPr>
              <w:spacing w:line="500" w:lineRule="exact"/>
              <w:rPr>
                <w:rFonts w:ascii="宋体"/>
                <w:sz w:val="28"/>
              </w:rPr>
            </w:pPr>
            <w:r>
              <w:rPr>
                <w:rFonts w:hint="eastAsia" w:ascii="宋体"/>
                <w:sz w:val="28"/>
              </w:rPr>
              <w:t>[20]汪自强.浅谈微课在初中物理教学中的应用[J]．信息技术与教学，2018(2).</w:t>
            </w:r>
          </w:p>
          <w:p>
            <w:pPr>
              <w:spacing w:line="500" w:lineRule="exact"/>
              <w:rPr>
                <w:rFonts w:ascii="宋体"/>
                <w:sz w:val="28"/>
              </w:rPr>
            </w:pPr>
            <w:r>
              <w:rPr>
                <w:rFonts w:hint="eastAsia" w:ascii="宋体"/>
                <w:sz w:val="28"/>
              </w:rPr>
              <w:t>[21]黄郁郁.新课程背景下培养初中生化学学科素养策略研究．《教师教学能力发展研究》总课题组科研成果集（第十一卷）</w:t>
            </w:r>
          </w:p>
          <w:p>
            <w:pPr>
              <w:spacing w:line="500" w:lineRule="exact"/>
              <w:rPr>
                <w:rFonts w:ascii="宋体"/>
                <w:sz w:val="28"/>
              </w:rPr>
            </w:pPr>
            <w:r>
              <w:rPr>
                <w:rFonts w:hint="eastAsia" w:ascii="宋体"/>
                <w:sz w:val="28"/>
              </w:rPr>
              <w:t>[22]刘白生.中学物理科学素养及其中课堂教学中的培养[J]．湖南中学物理，2018(2).</w:t>
            </w:r>
          </w:p>
          <w:p>
            <w:pPr>
              <w:spacing w:line="500" w:lineRule="exact"/>
              <w:rPr>
                <w:rFonts w:ascii="宋体"/>
                <w:sz w:val="28"/>
              </w:rPr>
            </w:pPr>
            <w:r>
              <w:rPr>
                <w:rFonts w:hint="eastAsia" w:ascii="宋体"/>
                <w:sz w:val="28"/>
              </w:rPr>
              <w:t>[23]高维平.重视实验教学，提升学科素养[J]．中学生物教学，2017(8).</w:t>
            </w:r>
          </w:p>
          <w:p>
            <w:pPr>
              <w:spacing w:line="500" w:lineRule="exact"/>
              <w:rPr>
                <w:rFonts w:ascii="宋体"/>
                <w:sz w:val="28"/>
              </w:rPr>
            </w:pPr>
            <w:r>
              <w:rPr>
                <w:rFonts w:hint="eastAsia" w:ascii="宋体"/>
                <w:sz w:val="28"/>
              </w:rPr>
              <w:t>[24]涂振章.制好微课提升物理实验能力[J]．课程教育研究，2019(5).</w:t>
            </w:r>
          </w:p>
          <w:p>
            <w:pPr>
              <w:spacing w:line="500" w:lineRule="exact"/>
              <w:rPr>
                <w:rFonts w:ascii="宋体"/>
                <w:sz w:val="28"/>
              </w:rPr>
            </w:pPr>
            <w:r>
              <w:rPr>
                <w:rFonts w:hint="eastAsia" w:ascii="宋体"/>
                <w:sz w:val="28"/>
              </w:rPr>
              <w:t>[25]李宪珍，夏志辉.打磨核心细节，创设高效微课[J]．中学数学高中版，2015(1).</w:t>
            </w:r>
          </w:p>
          <w:p>
            <w:pPr>
              <w:spacing w:line="500" w:lineRule="exact"/>
              <w:rPr>
                <w:rFonts w:ascii="宋体"/>
                <w:sz w:val="28"/>
              </w:rPr>
            </w:pPr>
            <w:r>
              <w:rPr>
                <w:rFonts w:hint="eastAsia" w:ascii="宋体"/>
                <w:sz w:val="28"/>
              </w:rPr>
              <w:t>[26]刘铁宏.中职数学数形结合思想下微课开展策略[J]．文存阅刊，2018(9).</w:t>
            </w:r>
          </w:p>
          <w:p>
            <w:pPr>
              <w:spacing w:line="500" w:lineRule="exact"/>
              <w:rPr>
                <w:rFonts w:ascii="宋体"/>
                <w:sz w:val="28"/>
              </w:rPr>
            </w:pPr>
            <w:r>
              <w:rPr>
                <w:rFonts w:hint="eastAsia" w:ascii="宋体"/>
                <w:sz w:val="28"/>
              </w:rPr>
              <w:t>[27]曾建红.利用“微课”提高数学运算核心素养[J]．师道教研，2019(1).</w:t>
            </w:r>
          </w:p>
          <w:p>
            <w:pPr>
              <w:spacing w:line="500" w:lineRule="exact"/>
              <w:rPr>
                <w:rFonts w:ascii="宋体"/>
                <w:sz w:val="28"/>
              </w:rPr>
            </w:pPr>
            <w:r>
              <w:rPr>
                <w:rFonts w:hint="eastAsia" w:ascii="宋体"/>
                <w:sz w:val="28"/>
              </w:rPr>
              <w:t>[28]姚亮发，张明月，杨毅明.微课在初中化学教学中的运用—以“原子的构成”为例[J]．中小学教学研究，2019(3).</w:t>
            </w:r>
          </w:p>
          <w:p>
            <w:pPr>
              <w:spacing w:line="500" w:lineRule="exact"/>
              <w:rPr>
                <w:rFonts w:ascii="宋体"/>
                <w:sz w:val="28"/>
              </w:rPr>
            </w:pPr>
            <w:r>
              <w:rPr>
                <w:rFonts w:hint="eastAsia" w:ascii="宋体"/>
                <w:sz w:val="28"/>
              </w:rPr>
              <w:t>[29]周鹏.数形结合与信息技术在不等式中的应用[J]．中学数学教学参考，2016(9).</w:t>
            </w:r>
          </w:p>
          <w:p>
            <w:pPr>
              <w:spacing w:line="500" w:lineRule="exact"/>
              <w:rPr>
                <w:rFonts w:ascii="宋体"/>
                <w:sz w:val="28"/>
              </w:rPr>
            </w:pPr>
            <w:r>
              <w:rPr>
                <w:rFonts w:hint="eastAsia" w:ascii="宋体"/>
                <w:sz w:val="28"/>
              </w:rPr>
              <w:t>[30]蔡三娟.例谈微课在初中生物学实验教学中的应用[J]．课程教育研究，2019(11).</w:t>
            </w:r>
          </w:p>
          <w:p>
            <w:pPr>
              <w:spacing w:line="500" w:lineRule="exact"/>
              <w:rPr>
                <w:rFonts w:ascii="宋体"/>
                <w:sz w:val="28"/>
              </w:rPr>
            </w:pPr>
          </w:p>
          <w:p>
            <w:pPr>
              <w:spacing w:line="500" w:lineRule="exact"/>
              <w:rPr>
                <w:rFonts w:ascii="宋体"/>
                <w:sz w:val="28"/>
              </w:rPr>
            </w:pPr>
          </w:p>
          <w:p>
            <w:pPr>
              <w:spacing w:line="500" w:lineRule="exact"/>
              <w:rPr>
                <w:rFonts w:ascii="宋体"/>
                <w:sz w:val="28"/>
              </w:rPr>
            </w:pPr>
          </w:p>
          <w:p>
            <w:pPr>
              <w:spacing w:line="500" w:lineRule="exact"/>
              <w:rPr>
                <w:rFonts w:ascii="宋体"/>
                <w:sz w:val="28"/>
              </w:rPr>
            </w:pPr>
          </w:p>
          <w:p>
            <w:pPr>
              <w:spacing w:line="500" w:lineRule="exact"/>
              <w:rPr>
                <w:rFonts w:ascii="宋体"/>
                <w:sz w:val="28"/>
              </w:rPr>
            </w:pPr>
          </w:p>
          <w:p>
            <w:pPr>
              <w:spacing w:line="500" w:lineRule="exact"/>
              <w:rPr>
                <w:rFonts w:ascii="宋体"/>
                <w:sz w:val="28"/>
              </w:rPr>
            </w:pPr>
          </w:p>
          <w:p>
            <w:pPr>
              <w:spacing w:line="500" w:lineRule="exact"/>
              <w:rPr>
                <w:rFonts w:ascii="宋体"/>
                <w:sz w:val="28"/>
              </w:rPr>
            </w:pPr>
          </w:p>
          <w:p>
            <w:pPr>
              <w:spacing w:line="500" w:lineRule="exact"/>
              <w:rPr>
                <w:rFonts w:ascii="宋体"/>
                <w:sz w:val="28"/>
              </w:rPr>
            </w:pPr>
          </w:p>
          <w:p>
            <w:pPr>
              <w:spacing w:line="500" w:lineRule="exact"/>
              <w:rPr>
                <w:rFonts w:ascii="宋体"/>
                <w:sz w:val="28"/>
              </w:rPr>
            </w:pPr>
          </w:p>
          <w:p>
            <w:pPr>
              <w:spacing w:line="500" w:lineRule="exact"/>
              <w:rPr>
                <w:rFonts w:ascii="宋体"/>
                <w:sz w:val="28"/>
              </w:rPr>
            </w:pPr>
          </w:p>
          <w:p>
            <w:pPr>
              <w:spacing w:line="500" w:lineRule="exact"/>
              <w:rPr>
                <w:rFonts w:ascii="宋体"/>
                <w:sz w:val="28"/>
              </w:rPr>
            </w:pPr>
          </w:p>
          <w:p>
            <w:pPr>
              <w:spacing w:line="500" w:lineRule="exact"/>
              <w:rPr>
                <w:rFonts w:ascii="宋体"/>
                <w:sz w:val="28"/>
              </w:rPr>
            </w:pPr>
          </w:p>
          <w:p>
            <w:pPr>
              <w:spacing w:line="500" w:lineRule="exact"/>
              <w:rPr>
                <w:rFonts w:ascii="宋体"/>
                <w:sz w:val="28"/>
              </w:rPr>
            </w:pPr>
          </w:p>
          <w:p>
            <w:pPr>
              <w:spacing w:line="500" w:lineRule="exact"/>
              <w:rPr>
                <w:rFonts w:ascii="宋体"/>
                <w:sz w:val="28"/>
              </w:rPr>
            </w:pPr>
          </w:p>
          <w:p>
            <w:pPr>
              <w:spacing w:line="500" w:lineRule="exact"/>
              <w:rPr>
                <w:rFonts w:ascii="宋体"/>
                <w:sz w:val="28"/>
              </w:rPr>
            </w:pPr>
          </w:p>
        </w:tc>
      </w:tr>
    </w:tbl>
    <w:p>
      <w:pPr>
        <w:spacing w:line="500" w:lineRule="exact"/>
        <w:rPr>
          <w:rFonts w:ascii="黑体" w:eastAsia="黑体"/>
          <w:sz w:val="32"/>
        </w:rPr>
      </w:pPr>
    </w:p>
    <w:p>
      <w:pPr>
        <w:spacing w:line="500" w:lineRule="exact"/>
        <w:rPr>
          <w:rFonts w:ascii="黑体" w:eastAsia="黑体"/>
          <w:sz w:val="32"/>
        </w:rPr>
      </w:pPr>
      <w:r>
        <w:rPr>
          <w:rFonts w:hint="eastAsia" w:ascii="黑体" w:eastAsia="黑体"/>
          <w:sz w:val="32"/>
        </w:rPr>
        <w:t>四、课题负责人所在单位审核意见</w:t>
      </w:r>
    </w:p>
    <w:tbl>
      <w:tblPr>
        <w:tblStyle w:val="6"/>
        <w:tblW w:w="850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4" w:hRule="atLeast"/>
        </w:trPr>
        <w:tc>
          <w:tcPr>
            <w:tcW w:w="8506" w:type="dxa"/>
            <w:tcBorders>
              <w:bottom w:val="single" w:color="auto" w:sz="4" w:space="0"/>
            </w:tcBorders>
          </w:tcPr>
          <w:p>
            <w:pPr>
              <w:spacing w:line="500" w:lineRule="exact"/>
              <w:rPr>
                <w:rFonts w:ascii="宋体"/>
                <w:sz w:val="28"/>
              </w:rPr>
            </w:pPr>
            <w:r>
              <w:rPr>
                <w:rFonts w:hint="eastAsia" w:ascii="宋体"/>
                <w:sz w:val="28"/>
              </w:rPr>
              <w:t xml:space="preserve">               </w:t>
            </w:r>
          </w:p>
          <w:p>
            <w:pPr>
              <w:spacing w:line="500" w:lineRule="exact"/>
              <w:rPr>
                <w:rFonts w:ascii="宋体"/>
                <w:sz w:val="28"/>
              </w:rPr>
            </w:pPr>
          </w:p>
          <w:p>
            <w:pPr>
              <w:spacing w:line="500" w:lineRule="exact"/>
              <w:rPr>
                <w:rFonts w:ascii="宋体"/>
                <w:sz w:val="28"/>
              </w:rPr>
            </w:pPr>
          </w:p>
          <w:p>
            <w:pPr>
              <w:spacing w:line="500" w:lineRule="exact"/>
              <w:rPr>
                <w:rFonts w:ascii="宋体"/>
                <w:sz w:val="28"/>
              </w:rPr>
            </w:pPr>
          </w:p>
          <w:p>
            <w:pPr>
              <w:spacing w:line="500" w:lineRule="exact"/>
              <w:rPr>
                <w:rFonts w:ascii="宋体"/>
                <w:sz w:val="28"/>
              </w:rPr>
            </w:pPr>
          </w:p>
          <w:p>
            <w:pPr>
              <w:spacing w:line="500" w:lineRule="exact"/>
              <w:rPr>
                <w:rFonts w:ascii="宋体"/>
                <w:sz w:val="28"/>
              </w:rPr>
            </w:pPr>
          </w:p>
          <w:p>
            <w:pPr>
              <w:spacing w:line="500" w:lineRule="exact"/>
              <w:rPr>
                <w:rFonts w:ascii="宋体"/>
                <w:sz w:val="28"/>
              </w:rPr>
            </w:pPr>
          </w:p>
          <w:p>
            <w:pPr>
              <w:spacing w:line="500" w:lineRule="exact"/>
              <w:rPr>
                <w:rFonts w:ascii="宋体"/>
                <w:sz w:val="28"/>
              </w:rPr>
            </w:pPr>
          </w:p>
          <w:p>
            <w:pPr>
              <w:spacing w:line="500" w:lineRule="exact"/>
              <w:rPr>
                <w:rFonts w:ascii="宋体"/>
                <w:sz w:val="28"/>
              </w:rPr>
            </w:pPr>
          </w:p>
          <w:p>
            <w:pPr>
              <w:spacing w:line="500" w:lineRule="exact"/>
              <w:rPr>
                <w:rFonts w:ascii="宋体"/>
                <w:sz w:val="28"/>
              </w:rPr>
            </w:pPr>
          </w:p>
          <w:p>
            <w:pPr>
              <w:spacing w:line="500" w:lineRule="exact"/>
              <w:rPr>
                <w:rFonts w:ascii="宋体"/>
                <w:sz w:val="28"/>
              </w:rPr>
            </w:pPr>
          </w:p>
          <w:p>
            <w:pPr>
              <w:spacing w:line="500" w:lineRule="exact"/>
              <w:rPr>
                <w:rFonts w:ascii="宋体"/>
                <w:sz w:val="28"/>
              </w:rPr>
            </w:pPr>
          </w:p>
          <w:p>
            <w:pPr>
              <w:spacing w:line="500" w:lineRule="exact"/>
              <w:rPr>
                <w:rFonts w:ascii="宋体"/>
                <w:sz w:val="28"/>
              </w:rPr>
            </w:pPr>
          </w:p>
          <w:p>
            <w:pPr>
              <w:spacing w:line="500" w:lineRule="exact"/>
              <w:rPr>
                <w:rFonts w:ascii="宋体"/>
                <w:sz w:val="28"/>
              </w:rPr>
            </w:pPr>
          </w:p>
          <w:p>
            <w:pPr>
              <w:spacing w:line="500" w:lineRule="exact"/>
              <w:rPr>
                <w:rFonts w:ascii="宋体"/>
                <w:sz w:val="28"/>
              </w:rPr>
            </w:pPr>
          </w:p>
          <w:p>
            <w:pPr>
              <w:spacing w:line="500" w:lineRule="exact"/>
              <w:rPr>
                <w:rFonts w:ascii="宋体"/>
                <w:sz w:val="28"/>
              </w:rPr>
            </w:pPr>
          </w:p>
          <w:p>
            <w:pPr>
              <w:spacing w:line="500" w:lineRule="exact"/>
              <w:rPr>
                <w:rFonts w:ascii="宋体"/>
                <w:sz w:val="28"/>
              </w:rPr>
            </w:pPr>
          </w:p>
          <w:p>
            <w:pPr>
              <w:spacing w:line="500" w:lineRule="exact"/>
              <w:rPr>
                <w:rFonts w:ascii="宋体"/>
                <w:sz w:val="28"/>
              </w:rPr>
            </w:pPr>
          </w:p>
          <w:p>
            <w:pPr>
              <w:spacing w:line="500" w:lineRule="exact"/>
              <w:rPr>
                <w:rFonts w:ascii="宋体"/>
                <w:sz w:val="28"/>
              </w:rPr>
            </w:pPr>
          </w:p>
          <w:p>
            <w:pPr>
              <w:spacing w:line="500" w:lineRule="exact"/>
              <w:rPr>
                <w:rFonts w:ascii="宋体"/>
                <w:sz w:val="28"/>
              </w:rPr>
            </w:pPr>
          </w:p>
          <w:p>
            <w:pPr>
              <w:spacing w:line="500" w:lineRule="exact"/>
              <w:rPr>
                <w:rFonts w:ascii="宋体"/>
                <w:sz w:val="28"/>
              </w:rPr>
            </w:pPr>
            <w:r>
              <w:rPr>
                <w:rFonts w:hint="eastAsia" w:ascii="宋体"/>
                <w:sz w:val="28"/>
              </w:rPr>
              <w:t xml:space="preserve">               单位公章               负责人（签章）</w:t>
            </w:r>
          </w:p>
          <w:p>
            <w:pPr>
              <w:spacing w:line="500" w:lineRule="exact"/>
              <w:rPr>
                <w:rFonts w:ascii="宋体"/>
                <w:sz w:val="28"/>
              </w:rPr>
            </w:pPr>
          </w:p>
          <w:p>
            <w:pPr>
              <w:spacing w:line="500" w:lineRule="exact"/>
              <w:rPr>
                <w:rFonts w:ascii="宋体"/>
                <w:sz w:val="28"/>
              </w:rPr>
            </w:pPr>
            <w:r>
              <w:rPr>
                <w:rFonts w:hint="eastAsia" w:ascii="宋体"/>
                <w:sz w:val="28"/>
              </w:rPr>
              <w:t xml:space="preserve">              年  月  日                年  月  日</w:t>
            </w:r>
          </w:p>
          <w:p>
            <w:pPr>
              <w:rPr>
                <w:rFonts w:ascii="宋体"/>
                <w:sz w:val="28"/>
              </w:rPr>
            </w:pPr>
          </w:p>
        </w:tc>
      </w:tr>
    </w:tbl>
    <w:p>
      <w:pPr>
        <w:pStyle w:val="3"/>
        <w:rPr>
          <w:rFonts w:ascii="黑体" w:hAnsi="Times New Roman" w:eastAsia="黑体"/>
          <w:sz w:val="32"/>
          <w:szCs w:val="24"/>
        </w:rPr>
      </w:pPr>
      <w:r>
        <w:rPr>
          <w:rFonts w:hint="eastAsia" w:hAnsi="宋体"/>
          <w:sz w:val="24"/>
        </w:rPr>
        <w:br w:type="page"/>
      </w:r>
      <w:r>
        <w:rPr>
          <w:rFonts w:hint="eastAsia" w:ascii="黑体" w:hAnsi="Times New Roman" w:eastAsia="黑体"/>
          <w:sz w:val="32"/>
          <w:szCs w:val="24"/>
        </w:rPr>
        <w:t xml:space="preserve">五、专家鉴定意见 </w:t>
      </w:r>
    </w:p>
    <w:p>
      <w:pPr>
        <w:pStyle w:val="3"/>
        <w:jc w:val="center"/>
        <w:rPr>
          <w:rFonts w:ascii="黑体" w:hAnsi="Times New Roman" w:eastAsia="黑体"/>
          <w:sz w:val="32"/>
          <w:szCs w:val="24"/>
        </w:rPr>
      </w:pPr>
      <w:r>
        <w:rPr>
          <w:rFonts w:hint="eastAsia" w:ascii="黑体" w:hAnsi="Times New Roman" w:eastAsia="黑体"/>
          <w:sz w:val="32"/>
          <w:szCs w:val="24"/>
        </w:rPr>
        <w:t>江苏省教育信息化研究课题成果鉴定</w:t>
      </w:r>
    </w:p>
    <w:p>
      <w:pPr>
        <w:pStyle w:val="3"/>
        <w:jc w:val="center"/>
        <w:rPr>
          <w:rFonts w:ascii="黑体" w:hAnsi="Times New Roman" w:eastAsia="黑体"/>
          <w:sz w:val="32"/>
          <w:szCs w:val="24"/>
        </w:rPr>
      </w:pPr>
      <w:r>
        <w:rPr>
          <w:rFonts w:hint="eastAsia" w:ascii="黑体" w:hAnsi="Times New Roman" w:eastAsia="黑体"/>
          <w:sz w:val="32"/>
          <w:szCs w:val="24"/>
        </w:rPr>
        <w:t>意见表（通讯鉴定）</w:t>
      </w:r>
    </w:p>
    <w:tbl>
      <w:tblPr>
        <w:tblStyle w:val="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260"/>
        <w:gridCol w:w="180"/>
        <w:gridCol w:w="1980"/>
        <w:gridCol w:w="144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188" w:type="dxa"/>
            <w:vMerge w:val="restart"/>
            <w:vAlign w:val="center"/>
          </w:tcPr>
          <w:p>
            <w:pPr>
              <w:pStyle w:val="3"/>
              <w:rPr>
                <w:sz w:val="24"/>
              </w:rPr>
            </w:pPr>
            <w:r>
              <w:rPr>
                <w:rFonts w:hint="eastAsia"/>
                <w:sz w:val="24"/>
              </w:rPr>
              <w:t>课题/成果信息</w:t>
            </w:r>
          </w:p>
          <w:p>
            <w:pPr>
              <w:pStyle w:val="3"/>
              <w:rPr>
                <w:sz w:val="24"/>
              </w:rPr>
            </w:pPr>
          </w:p>
        </w:tc>
        <w:tc>
          <w:tcPr>
            <w:tcW w:w="1260" w:type="dxa"/>
            <w:vAlign w:val="center"/>
          </w:tcPr>
          <w:p>
            <w:pPr>
              <w:pStyle w:val="3"/>
              <w:rPr>
                <w:sz w:val="24"/>
              </w:rPr>
            </w:pPr>
            <w:r>
              <w:rPr>
                <w:rFonts w:hint="eastAsia"/>
                <w:sz w:val="24"/>
              </w:rPr>
              <w:t>课题名称</w:t>
            </w:r>
          </w:p>
        </w:tc>
        <w:tc>
          <w:tcPr>
            <w:tcW w:w="6120" w:type="dxa"/>
            <w:gridSpan w:val="4"/>
            <w:vAlign w:val="center"/>
          </w:tcPr>
          <w:p>
            <w:pPr>
              <w:pStyle w:val="3"/>
              <w:rPr>
                <w:sz w:val="24"/>
              </w:rPr>
            </w:pPr>
            <w:r>
              <w:rPr>
                <w:rFonts w:hint="eastAsia"/>
                <w:sz w:val="24"/>
              </w:rPr>
              <w:t>“和美教育”理念下微课对提高内地西藏初中校学生理科素养的研究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188" w:type="dxa"/>
            <w:vMerge w:val="continue"/>
            <w:vAlign w:val="center"/>
          </w:tcPr>
          <w:p>
            <w:pPr>
              <w:pStyle w:val="3"/>
              <w:rPr>
                <w:sz w:val="24"/>
              </w:rPr>
            </w:pPr>
          </w:p>
        </w:tc>
        <w:tc>
          <w:tcPr>
            <w:tcW w:w="1260" w:type="dxa"/>
            <w:vAlign w:val="center"/>
          </w:tcPr>
          <w:p>
            <w:pPr>
              <w:pStyle w:val="3"/>
              <w:rPr>
                <w:sz w:val="24"/>
              </w:rPr>
            </w:pPr>
            <w:r>
              <w:rPr>
                <w:rFonts w:hint="eastAsia"/>
                <w:sz w:val="24"/>
              </w:rPr>
              <w:t>成果名称</w:t>
            </w:r>
          </w:p>
        </w:tc>
        <w:tc>
          <w:tcPr>
            <w:tcW w:w="6120" w:type="dxa"/>
            <w:gridSpan w:val="4"/>
            <w:vAlign w:val="center"/>
          </w:tcPr>
          <w:p>
            <w:pPr>
              <w:pStyle w:val="3"/>
              <w:rPr>
                <w:sz w:val="24"/>
              </w:rPr>
            </w:pPr>
            <w:r>
              <w:rPr>
                <w:rFonts w:hint="eastAsia"/>
                <w:sz w:val="24"/>
              </w:rPr>
              <w:t>《“和美教育”理念下微课对提高内地西藏初中校学生理科素养的研究》研究报告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188" w:type="dxa"/>
            <w:vMerge w:val="continue"/>
            <w:vAlign w:val="center"/>
          </w:tcPr>
          <w:p>
            <w:pPr>
              <w:pStyle w:val="3"/>
              <w:rPr>
                <w:sz w:val="24"/>
              </w:rPr>
            </w:pPr>
          </w:p>
        </w:tc>
        <w:tc>
          <w:tcPr>
            <w:tcW w:w="1260" w:type="dxa"/>
            <w:vAlign w:val="center"/>
          </w:tcPr>
          <w:p>
            <w:pPr>
              <w:pStyle w:val="3"/>
              <w:rPr>
                <w:sz w:val="24"/>
              </w:rPr>
            </w:pPr>
            <w:r>
              <w:rPr>
                <w:rFonts w:hint="eastAsia"/>
                <w:sz w:val="24"/>
              </w:rPr>
              <w:t>负 责 人</w:t>
            </w:r>
          </w:p>
        </w:tc>
        <w:tc>
          <w:tcPr>
            <w:tcW w:w="2160" w:type="dxa"/>
            <w:gridSpan w:val="2"/>
            <w:vAlign w:val="center"/>
          </w:tcPr>
          <w:p>
            <w:pPr>
              <w:pStyle w:val="3"/>
              <w:rPr>
                <w:rFonts w:hint="eastAsia" w:eastAsia="宋体"/>
                <w:sz w:val="24"/>
                <w:lang w:eastAsia="zh-CN"/>
              </w:rPr>
            </w:pPr>
            <w:r>
              <w:rPr>
                <w:rFonts w:hint="eastAsia"/>
                <w:sz w:val="24"/>
                <w:lang w:eastAsia="zh-CN"/>
              </w:rPr>
              <w:t>商汉勇</w:t>
            </w:r>
          </w:p>
        </w:tc>
        <w:tc>
          <w:tcPr>
            <w:tcW w:w="1440" w:type="dxa"/>
            <w:vAlign w:val="center"/>
          </w:tcPr>
          <w:p>
            <w:pPr>
              <w:pStyle w:val="3"/>
              <w:rPr>
                <w:sz w:val="24"/>
              </w:rPr>
            </w:pPr>
            <w:r>
              <w:rPr>
                <w:rFonts w:hint="eastAsia"/>
                <w:sz w:val="24"/>
              </w:rPr>
              <w:t>成果形式</w:t>
            </w:r>
          </w:p>
        </w:tc>
        <w:tc>
          <w:tcPr>
            <w:tcW w:w="2520" w:type="dxa"/>
            <w:vAlign w:val="center"/>
          </w:tcPr>
          <w:p>
            <w:pPr>
              <w:pStyle w:val="3"/>
              <w:rPr>
                <w:rFonts w:hint="eastAsia" w:eastAsia="宋体"/>
                <w:sz w:val="24"/>
                <w:lang w:eastAsia="zh-CN"/>
              </w:rPr>
            </w:pPr>
            <w:r>
              <w:rPr>
                <w:rFonts w:hint="eastAsia"/>
                <w:sz w:val="24"/>
                <w:lang w:eastAsia="zh-CN"/>
              </w:rPr>
              <w:t>研究报告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188" w:type="dxa"/>
            <w:vMerge w:val="continue"/>
            <w:vAlign w:val="center"/>
          </w:tcPr>
          <w:p>
            <w:pPr>
              <w:pStyle w:val="3"/>
              <w:rPr>
                <w:sz w:val="24"/>
              </w:rPr>
            </w:pPr>
          </w:p>
        </w:tc>
        <w:tc>
          <w:tcPr>
            <w:tcW w:w="1260" w:type="dxa"/>
            <w:vAlign w:val="center"/>
          </w:tcPr>
          <w:p>
            <w:pPr>
              <w:pStyle w:val="3"/>
              <w:rPr>
                <w:sz w:val="24"/>
              </w:rPr>
            </w:pPr>
            <w:r>
              <w:rPr>
                <w:rFonts w:hint="eastAsia"/>
                <w:sz w:val="24"/>
              </w:rPr>
              <w:t>所在单位</w:t>
            </w:r>
          </w:p>
        </w:tc>
        <w:tc>
          <w:tcPr>
            <w:tcW w:w="2160" w:type="dxa"/>
            <w:gridSpan w:val="2"/>
            <w:vAlign w:val="center"/>
          </w:tcPr>
          <w:p>
            <w:pPr>
              <w:pStyle w:val="3"/>
              <w:rPr>
                <w:rFonts w:hint="eastAsia" w:eastAsia="宋体"/>
                <w:sz w:val="24"/>
                <w:lang w:eastAsia="zh-CN"/>
              </w:rPr>
            </w:pPr>
            <w:r>
              <w:rPr>
                <w:rFonts w:hint="eastAsia"/>
                <w:sz w:val="24"/>
                <w:lang w:eastAsia="zh-CN"/>
              </w:rPr>
              <w:t>常州西藏民族中学</w:t>
            </w:r>
          </w:p>
        </w:tc>
        <w:tc>
          <w:tcPr>
            <w:tcW w:w="1440" w:type="dxa"/>
            <w:vAlign w:val="center"/>
          </w:tcPr>
          <w:p>
            <w:pPr>
              <w:pStyle w:val="3"/>
              <w:rPr>
                <w:sz w:val="24"/>
              </w:rPr>
            </w:pPr>
            <w:r>
              <w:rPr>
                <w:rFonts w:hint="eastAsia"/>
                <w:sz w:val="24"/>
              </w:rPr>
              <w:t>课题编号</w:t>
            </w:r>
          </w:p>
        </w:tc>
        <w:tc>
          <w:tcPr>
            <w:tcW w:w="2520" w:type="dxa"/>
            <w:vAlign w:val="center"/>
          </w:tcPr>
          <w:p>
            <w:pPr>
              <w:pStyle w:val="3"/>
              <w:rPr>
                <w:rFonts w:hint="default" w:eastAsia="宋体"/>
                <w:sz w:val="24"/>
                <w:lang w:val="en-US" w:eastAsia="zh-CN"/>
              </w:rPr>
            </w:pPr>
            <w:r>
              <w:rPr>
                <w:rFonts w:hint="eastAsia"/>
                <w:sz w:val="24"/>
                <w:lang w:val="en-US" w:eastAsia="zh-CN"/>
              </w:rPr>
              <w:t>20171102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188" w:type="dxa"/>
            <w:vMerge w:val="restart"/>
            <w:vAlign w:val="center"/>
          </w:tcPr>
          <w:p>
            <w:pPr>
              <w:pStyle w:val="3"/>
              <w:rPr>
                <w:sz w:val="24"/>
              </w:rPr>
            </w:pPr>
            <w:r>
              <w:rPr>
                <w:rFonts w:hint="eastAsia"/>
                <w:sz w:val="24"/>
              </w:rPr>
              <w:t>鉴定专家信息</w:t>
            </w:r>
          </w:p>
        </w:tc>
        <w:tc>
          <w:tcPr>
            <w:tcW w:w="1260" w:type="dxa"/>
            <w:vAlign w:val="center"/>
          </w:tcPr>
          <w:p>
            <w:pPr>
              <w:pStyle w:val="3"/>
              <w:rPr>
                <w:sz w:val="24"/>
              </w:rPr>
            </w:pPr>
            <w:r>
              <w:rPr>
                <w:rFonts w:hint="eastAsia"/>
                <w:sz w:val="24"/>
              </w:rPr>
              <w:t>姓    名</w:t>
            </w:r>
          </w:p>
        </w:tc>
        <w:tc>
          <w:tcPr>
            <w:tcW w:w="2160" w:type="dxa"/>
            <w:gridSpan w:val="2"/>
            <w:vAlign w:val="center"/>
          </w:tcPr>
          <w:p>
            <w:pPr>
              <w:pStyle w:val="3"/>
              <w:rPr>
                <w:sz w:val="24"/>
              </w:rPr>
            </w:pPr>
          </w:p>
        </w:tc>
        <w:tc>
          <w:tcPr>
            <w:tcW w:w="1440" w:type="dxa"/>
            <w:vAlign w:val="center"/>
          </w:tcPr>
          <w:p>
            <w:pPr>
              <w:pStyle w:val="3"/>
              <w:rPr>
                <w:sz w:val="24"/>
              </w:rPr>
            </w:pPr>
            <w:r>
              <w:rPr>
                <w:rFonts w:hint="eastAsia"/>
                <w:sz w:val="24"/>
              </w:rPr>
              <w:t>职务（称）</w:t>
            </w:r>
          </w:p>
        </w:tc>
        <w:tc>
          <w:tcPr>
            <w:tcW w:w="2520" w:type="dxa"/>
            <w:vAlign w:val="center"/>
          </w:tcPr>
          <w:p>
            <w:pPr>
              <w:pStyle w:val="3"/>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188" w:type="dxa"/>
            <w:vMerge w:val="continue"/>
            <w:vAlign w:val="center"/>
          </w:tcPr>
          <w:p>
            <w:pPr>
              <w:pStyle w:val="3"/>
              <w:rPr>
                <w:sz w:val="24"/>
              </w:rPr>
            </w:pPr>
          </w:p>
        </w:tc>
        <w:tc>
          <w:tcPr>
            <w:tcW w:w="1260" w:type="dxa"/>
            <w:vAlign w:val="center"/>
          </w:tcPr>
          <w:p>
            <w:pPr>
              <w:pStyle w:val="3"/>
              <w:rPr>
                <w:sz w:val="24"/>
              </w:rPr>
            </w:pPr>
            <w:r>
              <w:rPr>
                <w:rFonts w:hint="eastAsia"/>
                <w:sz w:val="24"/>
              </w:rPr>
              <w:t>单    位</w:t>
            </w:r>
          </w:p>
        </w:tc>
        <w:tc>
          <w:tcPr>
            <w:tcW w:w="2160" w:type="dxa"/>
            <w:gridSpan w:val="2"/>
            <w:vAlign w:val="center"/>
          </w:tcPr>
          <w:p>
            <w:pPr>
              <w:pStyle w:val="3"/>
              <w:rPr>
                <w:sz w:val="24"/>
              </w:rPr>
            </w:pPr>
          </w:p>
        </w:tc>
        <w:tc>
          <w:tcPr>
            <w:tcW w:w="1440" w:type="dxa"/>
            <w:vAlign w:val="center"/>
          </w:tcPr>
          <w:p>
            <w:pPr>
              <w:pStyle w:val="3"/>
              <w:rPr>
                <w:sz w:val="24"/>
              </w:rPr>
            </w:pPr>
            <w:r>
              <w:rPr>
                <w:rFonts w:hint="eastAsia" w:hAnsi="宋体" w:cs="宋体"/>
                <w:sz w:val="24"/>
              </w:rPr>
              <w:t>研究专长</w:t>
            </w:r>
          </w:p>
        </w:tc>
        <w:tc>
          <w:tcPr>
            <w:tcW w:w="2520" w:type="dxa"/>
            <w:vAlign w:val="center"/>
          </w:tcPr>
          <w:p>
            <w:pPr>
              <w:pStyle w:val="3"/>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188" w:type="dxa"/>
            <w:vMerge w:val="continue"/>
            <w:vAlign w:val="center"/>
          </w:tcPr>
          <w:p>
            <w:pPr>
              <w:pStyle w:val="3"/>
              <w:rPr>
                <w:sz w:val="24"/>
              </w:rPr>
            </w:pPr>
          </w:p>
        </w:tc>
        <w:tc>
          <w:tcPr>
            <w:tcW w:w="1260" w:type="dxa"/>
            <w:vAlign w:val="center"/>
          </w:tcPr>
          <w:p>
            <w:pPr>
              <w:pStyle w:val="3"/>
              <w:rPr>
                <w:sz w:val="24"/>
              </w:rPr>
            </w:pPr>
            <w:r>
              <w:rPr>
                <w:rFonts w:hint="eastAsia"/>
                <w:sz w:val="24"/>
              </w:rPr>
              <w:t>电子邮箱</w:t>
            </w:r>
          </w:p>
        </w:tc>
        <w:tc>
          <w:tcPr>
            <w:tcW w:w="2160" w:type="dxa"/>
            <w:gridSpan w:val="2"/>
            <w:vAlign w:val="center"/>
          </w:tcPr>
          <w:p>
            <w:pPr>
              <w:pStyle w:val="3"/>
              <w:rPr>
                <w:sz w:val="24"/>
              </w:rPr>
            </w:pPr>
          </w:p>
        </w:tc>
        <w:tc>
          <w:tcPr>
            <w:tcW w:w="1440" w:type="dxa"/>
            <w:vAlign w:val="center"/>
          </w:tcPr>
          <w:p>
            <w:pPr>
              <w:pStyle w:val="3"/>
              <w:rPr>
                <w:sz w:val="24"/>
              </w:rPr>
            </w:pPr>
            <w:r>
              <w:rPr>
                <w:rFonts w:hint="eastAsia"/>
                <w:sz w:val="24"/>
              </w:rPr>
              <w:t>电    话</w:t>
            </w:r>
          </w:p>
        </w:tc>
        <w:tc>
          <w:tcPr>
            <w:tcW w:w="2520" w:type="dxa"/>
            <w:vAlign w:val="center"/>
          </w:tcPr>
          <w:p>
            <w:pPr>
              <w:pStyle w:val="3"/>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8" w:type="dxa"/>
            <w:gridSpan w:val="6"/>
            <w:vAlign w:val="center"/>
          </w:tcPr>
          <w:p>
            <w:pPr>
              <w:pStyle w:val="3"/>
              <w:jc w:val="center"/>
              <w:rPr>
                <w:b/>
                <w:sz w:val="28"/>
              </w:rPr>
            </w:pPr>
            <w:r>
              <w:rPr>
                <w:rFonts w:hint="eastAsia"/>
                <w:b/>
                <w:sz w:val="28"/>
              </w:rPr>
              <w:t>鉴定意见</w:t>
            </w:r>
          </w:p>
          <w:p>
            <w:pPr>
              <w:pStyle w:val="3"/>
              <w:jc w:val="center"/>
              <w:rPr>
                <w:b/>
                <w:sz w:val="28"/>
              </w:rPr>
            </w:pPr>
          </w:p>
          <w:p>
            <w:pPr>
              <w:pStyle w:val="3"/>
              <w:jc w:val="center"/>
              <w:rPr>
                <w:b/>
                <w:sz w:val="28"/>
              </w:rPr>
            </w:pPr>
          </w:p>
          <w:p>
            <w:pPr>
              <w:pStyle w:val="3"/>
              <w:jc w:val="center"/>
              <w:rPr>
                <w:b/>
                <w:sz w:val="28"/>
              </w:rPr>
            </w:pPr>
          </w:p>
          <w:p>
            <w:pPr>
              <w:pStyle w:val="3"/>
              <w:jc w:val="center"/>
              <w:rPr>
                <w:b/>
                <w:sz w:val="28"/>
              </w:rPr>
            </w:pPr>
          </w:p>
          <w:p>
            <w:pPr>
              <w:pStyle w:val="3"/>
              <w:jc w:val="center"/>
              <w:rPr>
                <w:b/>
                <w:sz w:val="28"/>
              </w:rPr>
            </w:pPr>
          </w:p>
          <w:p>
            <w:pPr>
              <w:pStyle w:val="3"/>
              <w:jc w:val="center"/>
              <w:rPr>
                <w:b/>
                <w:sz w:val="28"/>
              </w:rPr>
            </w:pPr>
            <w:r>
              <w:rPr>
                <w:rFonts w:hint="eastAsia"/>
                <w:b/>
                <w:sz w:val="28"/>
              </w:rPr>
              <w:t>鉴定专家签字：</w:t>
            </w:r>
          </w:p>
          <w:p>
            <w:pPr>
              <w:pStyle w:val="3"/>
              <w:jc w:val="center"/>
              <w:rPr>
                <w:b/>
                <w:sz w:val="28"/>
              </w:rPr>
            </w:pPr>
          </w:p>
          <w:p>
            <w:pPr>
              <w:pStyle w:val="3"/>
              <w:jc w:val="center"/>
              <w:rPr>
                <w:b/>
                <w:sz w:val="28"/>
              </w:rPr>
            </w:pPr>
            <w:r>
              <w:rPr>
                <w:rFonts w:hint="eastAsia"/>
                <w:b/>
                <w:sz w:val="28"/>
              </w:rPr>
              <w:t xml:space="preserve">                    年  月  日</w:t>
            </w:r>
          </w:p>
          <w:p>
            <w:pPr>
              <w:pStyle w:val="3"/>
              <w:jc w:val="center"/>
              <w:rPr>
                <w:sz w:val="24"/>
              </w:rPr>
            </w:pPr>
            <w:r>
              <w:rPr>
                <w:rFonts w:hint="eastAsia"/>
                <w:b/>
                <w:sz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28" w:type="dxa"/>
            <w:gridSpan w:val="3"/>
          </w:tcPr>
          <w:p>
            <w:pPr>
              <w:pStyle w:val="3"/>
              <w:rPr>
                <w:b/>
                <w:sz w:val="28"/>
              </w:rPr>
            </w:pPr>
            <w:r>
              <w:rPr>
                <w:rFonts w:hint="eastAsia"/>
                <w:b/>
                <w:sz w:val="28"/>
              </w:rPr>
              <w:t>能否通过鉴定</w:t>
            </w:r>
          </w:p>
        </w:tc>
        <w:tc>
          <w:tcPr>
            <w:tcW w:w="5940" w:type="dxa"/>
            <w:gridSpan w:val="3"/>
          </w:tcPr>
          <w:p>
            <w:pPr>
              <w:pStyle w:val="3"/>
              <w:jc w:val="center"/>
              <w:rPr>
                <w:b/>
                <w:sz w:val="24"/>
              </w:rPr>
            </w:pPr>
            <w:r>
              <w:rPr>
                <w:rFonts w:hint="eastAsia"/>
                <w:sz w:val="28"/>
              </w:rPr>
              <w:t xml:space="preserve">通过 </w:t>
            </w:r>
            <w:r>
              <w:rPr>
                <w:rFonts w:hint="eastAsia"/>
                <w:b/>
                <w:sz w:val="28"/>
              </w:rPr>
              <w:t xml:space="preserve"> □  </w:t>
            </w:r>
            <w:r>
              <w:rPr>
                <w:rFonts w:hint="eastAsia"/>
                <w:b/>
                <w:sz w:val="24"/>
              </w:rPr>
              <w:t xml:space="preserve"> </w:t>
            </w:r>
            <w:r>
              <w:rPr>
                <w:b/>
                <w:sz w:val="24"/>
              </w:rPr>
              <w:t xml:space="preserve"> </w:t>
            </w:r>
            <w:r>
              <w:rPr>
                <w:rFonts w:hint="eastAsia"/>
                <w:b/>
                <w:sz w:val="24"/>
              </w:rPr>
              <w:t xml:space="preserve"> </w:t>
            </w:r>
            <w:r>
              <w:rPr>
                <w:rFonts w:hint="eastAsia"/>
                <w:sz w:val="28"/>
              </w:rPr>
              <w:t xml:space="preserve"> 不通过</w:t>
            </w:r>
            <w:r>
              <w:rPr>
                <w:rFonts w:hint="eastAsia"/>
                <w:b/>
                <w:sz w:val="28"/>
              </w:rPr>
              <w:t xml:space="preserve"> □</w:t>
            </w:r>
          </w:p>
        </w:tc>
      </w:tr>
    </w:tbl>
    <w:p>
      <w:pPr>
        <w:pStyle w:val="3"/>
        <w:spacing w:line="360" w:lineRule="exact"/>
        <w:rPr>
          <w:b/>
          <w:sz w:val="24"/>
        </w:rPr>
      </w:pPr>
      <w:r>
        <w:rPr>
          <w:rFonts w:hint="eastAsia"/>
          <w:b/>
          <w:sz w:val="24"/>
        </w:rPr>
        <w:t>注：</w:t>
      </w:r>
    </w:p>
    <w:p>
      <w:pPr>
        <w:pStyle w:val="3"/>
        <w:spacing w:line="360" w:lineRule="exact"/>
        <w:rPr>
          <w:sz w:val="24"/>
        </w:rPr>
      </w:pPr>
      <w:r>
        <w:rPr>
          <w:rFonts w:hint="eastAsia"/>
          <w:sz w:val="24"/>
        </w:rPr>
        <w:t>1.鉴定意见不少于500字。</w:t>
      </w:r>
    </w:p>
    <w:p>
      <w:pPr>
        <w:pStyle w:val="3"/>
        <w:spacing w:line="360" w:lineRule="exact"/>
        <w:rPr>
          <w:b/>
          <w:sz w:val="32"/>
        </w:rPr>
      </w:pPr>
      <w:r>
        <w:rPr>
          <w:rFonts w:hint="eastAsia"/>
          <w:sz w:val="24"/>
        </w:rPr>
        <w:t>2.出现下列情况之一者，不能通过鉴定：有严重政治问题；有剽窃或作假行为；不具有科学性、创新型、规范性及应用价值等。</w:t>
      </w:r>
    </w:p>
    <w:p>
      <w:pPr>
        <w:pStyle w:val="3"/>
        <w:spacing w:line="240" w:lineRule="exact"/>
        <w:rPr>
          <w:szCs w:val="21"/>
        </w:rPr>
      </w:pPr>
    </w:p>
    <w:p>
      <w:pPr>
        <w:pStyle w:val="3"/>
        <w:jc w:val="center"/>
        <w:rPr>
          <w:rFonts w:ascii="黑体" w:hAnsi="Times New Roman" w:eastAsia="黑体"/>
          <w:sz w:val="32"/>
          <w:szCs w:val="24"/>
        </w:rPr>
      </w:pPr>
      <w:r>
        <w:rPr>
          <w:rFonts w:ascii="黑体" w:eastAsia="黑体"/>
          <w:sz w:val="32"/>
        </w:rPr>
        <w:br w:type="page"/>
      </w:r>
      <w:r>
        <w:rPr>
          <w:rFonts w:hint="eastAsia" w:ascii="黑体" w:hAnsi="Times New Roman" w:eastAsia="黑体"/>
          <w:sz w:val="32"/>
          <w:szCs w:val="24"/>
        </w:rPr>
        <w:t>江苏省教育信息化研究课题成果鉴定</w:t>
      </w:r>
    </w:p>
    <w:p>
      <w:pPr>
        <w:pStyle w:val="3"/>
        <w:jc w:val="center"/>
        <w:rPr>
          <w:b/>
          <w:sz w:val="32"/>
        </w:rPr>
      </w:pPr>
      <w:r>
        <w:rPr>
          <w:rFonts w:hint="eastAsia" w:ascii="黑体" w:hAnsi="Times New Roman" w:eastAsia="黑体"/>
          <w:sz w:val="32"/>
          <w:szCs w:val="24"/>
        </w:rPr>
        <w:t>意见表（会议鉴定）</w:t>
      </w:r>
    </w:p>
    <w:tbl>
      <w:tblPr>
        <w:tblStyle w:val="6"/>
        <w:tblW w:w="86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1035"/>
        <w:gridCol w:w="225"/>
        <w:gridCol w:w="1440"/>
        <w:gridCol w:w="1260"/>
        <w:gridCol w:w="2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1908" w:type="dxa"/>
          </w:tcPr>
          <w:p>
            <w:pPr>
              <w:pStyle w:val="3"/>
              <w:spacing w:line="400" w:lineRule="exact"/>
              <w:rPr>
                <w:sz w:val="24"/>
              </w:rPr>
            </w:pPr>
            <w:r>
              <w:rPr>
                <w:rFonts w:hint="eastAsia"/>
                <w:sz w:val="24"/>
              </w:rPr>
              <w:t>课题名称</w:t>
            </w:r>
          </w:p>
        </w:tc>
        <w:tc>
          <w:tcPr>
            <w:tcW w:w="6708" w:type="dxa"/>
            <w:gridSpan w:val="5"/>
          </w:tcPr>
          <w:p>
            <w:pPr>
              <w:pStyle w:val="3"/>
              <w:spacing w:line="400" w:lineRule="exact"/>
              <w:rPr>
                <w:sz w:val="24"/>
              </w:rPr>
            </w:pPr>
            <w:r>
              <w:rPr>
                <w:rFonts w:hint="eastAsia"/>
                <w:sz w:val="24"/>
              </w:rPr>
              <w:t>“和美教育”理念下微课对提高内地西藏初中校学生理科素养的研究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908" w:type="dxa"/>
          </w:tcPr>
          <w:p>
            <w:pPr>
              <w:pStyle w:val="3"/>
              <w:spacing w:line="400" w:lineRule="exact"/>
              <w:rPr>
                <w:sz w:val="24"/>
              </w:rPr>
            </w:pPr>
            <w:r>
              <w:rPr>
                <w:rFonts w:hint="eastAsia"/>
                <w:sz w:val="24"/>
              </w:rPr>
              <w:t>成果名称</w:t>
            </w:r>
          </w:p>
        </w:tc>
        <w:tc>
          <w:tcPr>
            <w:tcW w:w="6708" w:type="dxa"/>
            <w:gridSpan w:val="5"/>
          </w:tcPr>
          <w:p>
            <w:pPr>
              <w:pStyle w:val="3"/>
              <w:spacing w:line="400" w:lineRule="exact"/>
              <w:rPr>
                <w:sz w:val="24"/>
              </w:rPr>
            </w:pPr>
            <w:r>
              <w:rPr>
                <w:rFonts w:hint="eastAsia"/>
                <w:sz w:val="24"/>
              </w:rPr>
              <w:t>《“和美教育”理念下微课对提高内地西藏初中校学生理科素养的研究》研究报告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1908" w:type="dxa"/>
          </w:tcPr>
          <w:p>
            <w:pPr>
              <w:pStyle w:val="3"/>
              <w:spacing w:line="400" w:lineRule="exact"/>
              <w:rPr>
                <w:sz w:val="24"/>
              </w:rPr>
            </w:pPr>
            <w:r>
              <w:rPr>
                <w:rFonts w:hint="eastAsia"/>
                <w:sz w:val="24"/>
              </w:rPr>
              <w:t>课题负责人</w:t>
            </w:r>
          </w:p>
        </w:tc>
        <w:tc>
          <w:tcPr>
            <w:tcW w:w="2700" w:type="dxa"/>
            <w:gridSpan w:val="3"/>
          </w:tcPr>
          <w:p>
            <w:pPr>
              <w:pStyle w:val="3"/>
              <w:spacing w:line="400" w:lineRule="exact"/>
              <w:rPr>
                <w:rFonts w:hint="eastAsia"/>
                <w:sz w:val="24"/>
              </w:rPr>
            </w:pPr>
            <w:r>
              <w:rPr>
                <w:rFonts w:hint="eastAsia"/>
                <w:sz w:val="24"/>
              </w:rPr>
              <w:t>商汉勇</w:t>
            </w:r>
          </w:p>
        </w:tc>
        <w:tc>
          <w:tcPr>
            <w:tcW w:w="1260" w:type="dxa"/>
          </w:tcPr>
          <w:p>
            <w:pPr>
              <w:pStyle w:val="3"/>
              <w:spacing w:line="400" w:lineRule="exact"/>
              <w:rPr>
                <w:sz w:val="24"/>
              </w:rPr>
            </w:pPr>
            <w:r>
              <w:rPr>
                <w:rFonts w:hint="eastAsia"/>
                <w:sz w:val="24"/>
              </w:rPr>
              <w:t>所在单位</w:t>
            </w:r>
          </w:p>
        </w:tc>
        <w:tc>
          <w:tcPr>
            <w:tcW w:w="2748" w:type="dxa"/>
          </w:tcPr>
          <w:p>
            <w:pPr>
              <w:pStyle w:val="3"/>
              <w:spacing w:line="400" w:lineRule="exact"/>
              <w:rPr>
                <w:sz w:val="24"/>
              </w:rPr>
            </w:pPr>
            <w:r>
              <w:rPr>
                <w:rFonts w:hint="eastAsia"/>
                <w:sz w:val="24"/>
              </w:rPr>
              <w:t>常州西藏民族中学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1908" w:type="dxa"/>
          </w:tcPr>
          <w:p>
            <w:pPr>
              <w:pStyle w:val="3"/>
              <w:spacing w:line="400" w:lineRule="exact"/>
              <w:rPr>
                <w:sz w:val="24"/>
              </w:rPr>
            </w:pPr>
            <w:r>
              <w:rPr>
                <w:rFonts w:hint="eastAsia"/>
                <w:sz w:val="24"/>
              </w:rPr>
              <w:t>成果形式</w:t>
            </w:r>
          </w:p>
        </w:tc>
        <w:tc>
          <w:tcPr>
            <w:tcW w:w="2700" w:type="dxa"/>
            <w:gridSpan w:val="3"/>
          </w:tcPr>
          <w:p>
            <w:pPr>
              <w:pStyle w:val="3"/>
              <w:spacing w:line="400" w:lineRule="exact"/>
              <w:rPr>
                <w:sz w:val="24"/>
              </w:rPr>
            </w:pPr>
            <w:r>
              <w:rPr>
                <w:rFonts w:hint="eastAsia"/>
                <w:sz w:val="24"/>
              </w:rPr>
              <w:t>研究报告</w:t>
            </w:r>
          </w:p>
        </w:tc>
        <w:tc>
          <w:tcPr>
            <w:tcW w:w="1260" w:type="dxa"/>
          </w:tcPr>
          <w:p>
            <w:pPr>
              <w:pStyle w:val="3"/>
              <w:spacing w:line="400" w:lineRule="exact"/>
              <w:rPr>
                <w:sz w:val="24"/>
              </w:rPr>
            </w:pPr>
            <w:r>
              <w:rPr>
                <w:rFonts w:hint="eastAsia"/>
                <w:sz w:val="24"/>
              </w:rPr>
              <w:t>课题编号</w:t>
            </w:r>
          </w:p>
        </w:tc>
        <w:tc>
          <w:tcPr>
            <w:tcW w:w="2748" w:type="dxa"/>
          </w:tcPr>
          <w:p>
            <w:pPr>
              <w:pStyle w:val="3"/>
              <w:spacing w:line="400" w:lineRule="exact"/>
              <w:rPr>
                <w:sz w:val="24"/>
              </w:rPr>
            </w:pPr>
            <w:r>
              <w:rPr>
                <w:rFonts w:hint="eastAsia"/>
                <w:sz w:val="24"/>
              </w:rPr>
              <w:t>20171102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1908" w:type="dxa"/>
            <w:vMerge w:val="restart"/>
          </w:tcPr>
          <w:p>
            <w:pPr>
              <w:pStyle w:val="3"/>
              <w:spacing w:line="400" w:lineRule="exact"/>
              <w:rPr>
                <w:sz w:val="24"/>
              </w:rPr>
            </w:pPr>
          </w:p>
          <w:p>
            <w:pPr>
              <w:pStyle w:val="3"/>
              <w:spacing w:line="400" w:lineRule="exact"/>
              <w:rPr>
                <w:sz w:val="24"/>
              </w:rPr>
            </w:pPr>
          </w:p>
          <w:p>
            <w:pPr>
              <w:pStyle w:val="3"/>
              <w:spacing w:line="400" w:lineRule="exact"/>
              <w:rPr>
                <w:sz w:val="24"/>
              </w:rPr>
            </w:pPr>
          </w:p>
          <w:p>
            <w:pPr>
              <w:pStyle w:val="3"/>
              <w:spacing w:line="400" w:lineRule="exact"/>
              <w:rPr>
                <w:sz w:val="24"/>
              </w:rPr>
            </w:pPr>
            <w:r>
              <w:rPr>
                <w:rFonts w:hint="eastAsia"/>
                <w:sz w:val="24"/>
              </w:rPr>
              <w:t>鉴定组专家</w:t>
            </w:r>
          </w:p>
        </w:tc>
        <w:tc>
          <w:tcPr>
            <w:tcW w:w="1260" w:type="dxa"/>
            <w:gridSpan w:val="2"/>
          </w:tcPr>
          <w:p>
            <w:pPr>
              <w:pStyle w:val="3"/>
              <w:spacing w:line="400" w:lineRule="exact"/>
              <w:rPr>
                <w:sz w:val="24"/>
              </w:rPr>
            </w:pPr>
            <w:r>
              <w:rPr>
                <w:rFonts w:hint="eastAsia"/>
                <w:sz w:val="24"/>
              </w:rPr>
              <w:t>姓名</w:t>
            </w:r>
          </w:p>
        </w:tc>
        <w:tc>
          <w:tcPr>
            <w:tcW w:w="1440" w:type="dxa"/>
          </w:tcPr>
          <w:p>
            <w:pPr>
              <w:pStyle w:val="3"/>
              <w:spacing w:line="400" w:lineRule="exact"/>
              <w:rPr>
                <w:sz w:val="24"/>
              </w:rPr>
            </w:pPr>
            <w:r>
              <w:rPr>
                <w:rFonts w:hint="eastAsia"/>
                <w:sz w:val="24"/>
              </w:rPr>
              <w:t>职务（称）</w:t>
            </w:r>
          </w:p>
        </w:tc>
        <w:tc>
          <w:tcPr>
            <w:tcW w:w="1260" w:type="dxa"/>
          </w:tcPr>
          <w:p>
            <w:pPr>
              <w:pStyle w:val="3"/>
              <w:spacing w:line="400" w:lineRule="exact"/>
              <w:jc w:val="center"/>
              <w:rPr>
                <w:sz w:val="24"/>
              </w:rPr>
            </w:pPr>
            <w:r>
              <w:rPr>
                <w:rFonts w:hint="eastAsia"/>
                <w:sz w:val="24"/>
              </w:rPr>
              <w:t>研究专长</w:t>
            </w:r>
          </w:p>
        </w:tc>
        <w:tc>
          <w:tcPr>
            <w:tcW w:w="2748" w:type="dxa"/>
          </w:tcPr>
          <w:p>
            <w:pPr>
              <w:pStyle w:val="3"/>
              <w:spacing w:line="400" w:lineRule="exact"/>
              <w:jc w:val="center"/>
              <w:rPr>
                <w:sz w:val="24"/>
              </w:rPr>
            </w:pPr>
            <w:r>
              <w:rPr>
                <w:rFonts w:hint="eastAsia"/>
                <w:sz w:val="24"/>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1908" w:type="dxa"/>
            <w:vMerge w:val="continue"/>
          </w:tcPr>
          <w:p>
            <w:pPr>
              <w:pStyle w:val="3"/>
              <w:spacing w:line="400" w:lineRule="exact"/>
              <w:rPr>
                <w:sz w:val="24"/>
              </w:rPr>
            </w:pPr>
          </w:p>
        </w:tc>
        <w:tc>
          <w:tcPr>
            <w:tcW w:w="1260" w:type="dxa"/>
            <w:gridSpan w:val="2"/>
          </w:tcPr>
          <w:p>
            <w:pPr>
              <w:pStyle w:val="3"/>
              <w:spacing w:line="400" w:lineRule="exact"/>
              <w:rPr>
                <w:rFonts w:hint="eastAsia" w:eastAsia="宋体"/>
                <w:sz w:val="24"/>
                <w:lang w:eastAsia="zh-CN"/>
              </w:rPr>
            </w:pPr>
            <w:r>
              <w:rPr>
                <w:rFonts w:hint="eastAsia"/>
                <w:sz w:val="24"/>
                <w:lang w:eastAsia="zh-CN"/>
              </w:rPr>
              <w:t>龚国胜</w:t>
            </w:r>
          </w:p>
        </w:tc>
        <w:tc>
          <w:tcPr>
            <w:tcW w:w="1440" w:type="dxa"/>
          </w:tcPr>
          <w:p>
            <w:pPr>
              <w:pStyle w:val="3"/>
              <w:spacing w:line="400" w:lineRule="exact"/>
              <w:rPr>
                <w:sz w:val="24"/>
              </w:rPr>
            </w:pPr>
          </w:p>
        </w:tc>
        <w:tc>
          <w:tcPr>
            <w:tcW w:w="1260" w:type="dxa"/>
          </w:tcPr>
          <w:p>
            <w:pPr>
              <w:pStyle w:val="3"/>
              <w:spacing w:line="400" w:lineRule="exact"/>
              <w:rPr>
                <w:sz w:val="24"/>
              </w:rPr>
            </w:pPr>
          </w:p>
        </w:tc>
        <w:tc>
          <w:tcPr>
            <w:tcW w:w="2748" w:type="dxa"/>
          </w:tcPr>
          <w:p>
            <w:pPr>
              <w:pStyle w:val="3"/>
              <w:spacing w:line="400" w:lineRule="exact"/>
              <w:rPr>
                <w:rFonts w:hint="default" w:eastAsia="宋体"/>
                <w:sz w:val="24"/>
                <w:lang w:val="en-US" w:eastAsia="zh-CN"/>
              </w:rPr>
            </w:pPr>
            <w:r>
              <w:rPr>
                <w:rFonts w:hint="eastAsia"/>
                <w:sz w:val="24"/>
                <w:lang w:eastAsia="zh-CN"/>
              </w:rPr>
              <w:t>常州市教科院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1908" w:type="dxa"/>
            <w:vMerge w:val="continue"/>
          </w:tcPr>
          <w:p>
            <w:pPr>
              <w:pStyle w:val="3"/>
              <w:spacing w:line="400" w:lineRule="exact"/>
              <w:rPr>
                <w:sz w:val="24"/>
              </w:rPr>
            </w:pPr>
          </w:p>
        </w:tc>
        <w:tc>
          <w:tcPr>
            <w:tcW w:w="1260" w:type="dxa"/>
            <w:gridSpan w:val="2"/>
          </w:tcPr>
          <w:p>
            <w:pPr>
              <w:pStyle w:val="3"/>
              <w:spacing w:line="400" w:lineRule="exact"/>
              <w:rPr>
                <w:rFonts w:hint="eastAsia" w:eastAsia="宋体"/>
                <w:sz w:val="24"/>
                <w:lang w:eastAsia="zh-CN"/>
              </w:rPr>
            </w:pPr>
            <w:r>
              <w:rPr>
                <w:rFonts w:hint="eastAsia"/>
                <w:sz w:val="24"/>
                <w:lang w:eastAsia="zh-CN"/>
              </w:rPr>
              <w:t>王俊</w:t>
            </w:r>
          </w:p>
        </w:tc>
        <w:tc>
          <w:tcPr>
            <w:tcW w:w="1440" w:type="dxa"/>
          </w:tcPr>
          <w:p>
            <w:pPr>
              <w:pStyle w:val="3"/>
              <w:spacing w:line="400" w:lineRule="exact"/>
              <w:rPr>
                <w:sz w:val="24"/>
              </w:rPr>
            </w:pPr>
          </w:p>
        </w:tc>
        <w:tc>
          <w:tcPr>
            <w:tcW w:w="1260" w:type="dxa"/>
          </w:tcPr>
          <w:p>
            <w:pPr>
              <w:pStyle w:val="3"/>
              <w:spacing w:line="400" w:lineRule="exact"/>
              <w:rPr>
                <w:sz w:val="24"/>
              </w:rPr>
            </w:pPr>
          </w:p>
        </w:tc>
        <w:tc>
          <w:tcPr>
            <w:tcW w:w="2748" w:type="dxa"/>
          </w:tcPr>
          <w:p>
            <w:pPr>
              <w:pStyle w:val="3"/>
              <w:spacing w:line="400" w:lineRule="exact"/>
              <w:rPr>
                <w:sz w:val="24"/>
              </w:rPr>
            </w:pPr>
            <w:r>
              <w:rPr>
                <w:rFonts w:hint="eastAsia"/>
                <w:sz w:val="24"/>
                <w:lang w:eastAsia="zh-CN"/>
              </w:rPr>
              <w:t>常州市教科院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1908" w:type="dxa"/>
            <w:vMerge w:val="continue"/>
          </w:tcPr>
          <w:p>
            <w:pPr>
              <w:pStyle w:val="3"/>
              <w:spacing w:line="400" w:lineRule="exact"/>
              <w:rPr>
                <w:sz w:val="24"/>
              </w:rPr>
            </w:pPr>
          </w:p>
        </w:tc>
        <w:tc>
          <w:tcPr>
            <w:tcW w:w="1260" w:type="dxa"/>
            <w:gridSpan w:val="2"/>
          </w:tcPr>
          <w:p>
            <w:pPr>
              <w:pStyle w:val="3"/>
              <w:spacing w:line="400" w:lineRule="exact"/>
              <w:rPr>
                <w:rFonts w:hint="eastAsia" w:eastAsia="宋体"/>
                <w:sz w:val="24"/>
                <w:lang w:eastAsia="zh-CN"/>
              </w:rPr>
            </w:pPr>
            <w:r>
              <w:rPr>
                <w:rFonts w:hint="eastAsia"/>
                <w:sz w:val="24"/>
                <w:lang w:eastAsia="zh-CN"/>
              </w:rPr>
              <w:t>黄炎</w:t>
            </w:r>
          </w:p>
        </w:tc>
        <w:tc>
          <w:tcPr>
            <w:tcW w:w="1440" w:type="dxa"/>
          </w:tcPr>
          <w:p>
            <w:pPr>
              <w:pStyle w:val="3"/>
              <w:spacing w:line="400" w:lineRule="exact"/>
              <w:rPr>
                <w:sz w:val="24"/>
              </w:rPr>
            </w:pPr>
          </w:p>
        </w:tc>
        <w:tc>
          <w:tcPr>
            <w:tcW w:w="1260" w:type="dxa"/>
          </w:tcPr>
          <w:p>
            <w:pPr>
              <w:pStyle w:val="3"/>
              <w:spacing w:line="400" w:lineRule="exact"/>
              <w:rPr>
                <w:sz w:val="24"/>
              </w:rPr>
            </w:pPr>
          </w:p>
        </w:tc>
        <w:tc>
          <w:tcPr>
            <w:tcW w:w="2748" w:type="dxa"/>
          </w:tcPr>
          <w:p>
            <w:pPr>
              <w:pStyle w:val="3"/>
              <w:spacing w:line="400" w:lineRule="exact"/>
              <w:rPr>
                <w:sz w:val="24"/>
              </w:rPr>
            </w:pPr>
            <w:r>
              <w:rPr>
                <w:rFonts w:hint="eastAsia"/>
                <w:sz w:val="24"/>
                <w:lang w:eastAsia="zh-CN"/>
              </w:rPr>
              <w:t>常州市教科院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0" w:hRule="atLeast"/>
        </w:trPr>
        <w:tc>
          <w:tcPr>
            <w:tcW w:w="8616" w:type="dxa"/>
            <w:gridSpan w:val="6"/>
          </w:tcPr>
          <w:p>
            <w:pPr>
              <w:pStyle w:val="3"/>
              <w:jc w:val="center"/>
              <w:rPr>
                <w:b/>
                <w:sz w:val="28"/>
              </w:rPr>
            </w:pPr>
            <w:r>
              <w:rPr>
                <w:rFonts w:hint="eastAsia"/>
                <w:b/>
                <w:sz w:val="28"/>
              </w:rPr>
              <w:t>鉴定意见</w:t>
            </w:r>
          </w:p>
          <w:p>
            <w:pPr>
              <w:pStyle w:val="3"/>
              <w:rPr>
                <w:bCs/>
                <w:sz w:val="24"/>
              </w:rPr>
            </w:pPr>
            <w:r>
              <w:rPr>
                <w:rFonts w:hint="eastAsia"/>
                <w:bCs/>
                <w:sz w:val="24"/>
              </w:rPr>
              <w:t>（提示：×年×月×日，受江苏省教育信息化中心（电教馆）委托，由×名专家组成的专家鉴定组，对××单位××主持的江苏省教育信息化研究课题进行了鉴定，在听取课题组汇报、阅读课题研究材料、质询答辩的基础上，形成如下意见：第一，研究的意义和价值；第二，研究工作和贡献；第三，不足与建议；第四，是否通过鉴定、同意结题）。</w:t>
            </w:r>
            <w:bookmarkStart w:id="1" w:name="_GoBack"/>
            <w:bookmarkEnd w:id="1"/>
          </w:p>
          <w:p>
            <w:pPr>
              <w:pStyle w:val="3"/>
              <w:rPr>
                <w:bCs/>
                <w:sz w:val="24"/>
              </w:rPr>
            </w:pPr>
          </w:p>
          <w:p>
            <w:pPr>
              <w:pStyle w:val="3"/>
              <w:rPr>
                <w:bCs/>
                <w:sz w:val="24"/>
              </w:rPr>
            </w:pPr>
          </w:p>
          <w:p>
            <w:pPr>
              <w:pStyle w:val="3"/>
              <w:spacing w:line="42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trPr>
        <w:tc>
          <w:tcPr>
            <w:tcW w:w="8616" w:type="dxa"/>
            <w:gridSpan w:val="6"/>
          </w:tcPr>
          <w:p>
            <w:pPr>
              <w:pStyle w:val="3"/>
              <w:rPr>
                <w:b/>
                <w:sz w:val="28"/>
              </w:rPr>
            </w:pPr>
            <w:r>
              <w:rPr>
                <w:rFonts w:hint="eastAsia"/>
                <w:b/>
                <w:sz w:val="28"/>
              </w:rPr>
              <w:t>鉴定组组长签字：</w:t>
            </w:r>
          </w:p>
          <w:p>
            <w:pPr>
              <w:pStyle w:val="3"/>
              <w:rPr>
                <w:b/>
                <w:sz w:val="28"/>
              </w:rPr>
            </w:pPr>
            <w:r>
              <w:rPr>
                <w:rFonts w:hint="eastAsia"/>
                <w:b/>
                <w:sz w:val="28"/>
              </w:rPr>
              <w:t>鉴定组成员签字：</w:t>
            </w:r>
          </w:p>
          <w:p>
            <w:pPr>
              <w:pStyle w:val="3"/>
              <w:jc w:val="center"/>
              <w:rPr>
                <w:b/>
                <w:sz w:val="28"/>
              </w:rPr>
            </w:pPr>
            <w:r>
              <w:rPr>
                <w:rFonts w:hint="eastAsia"/>
                <w:b/>
                <w:sz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5" w:hRule="atLeast"/>
        </w:trPr>
        <w:tc>
          <w:tcPr>
            <w:tcW w:w="2943" w:type="dxa"/>
            <w:gridSpan w:val="2"/>
          </w:tcPr>
          <w:p>
            <w:pPr>
              <w:pStyle w:val="3"/>
              <w:jc w:val="center"/>
              <w:rPr>
                <w:b/>
                <w:sz w:val="28"/>
              </w:rPr>
            </w:pPr>
            <w:r>
              <w:rPr>
                <w:rFonts w:hint="eastAsia"/>
                <w:b/>
                <w:sz w:val="28"/>
              </w:rPr>
              <w:t>能否通过鉴定</w:t>
            </w:r>
          </w:p>
        </w:tc>
        <w:tc>
          <w:tcPr>
            <w:tcW w:w="5673" w:type="dxa"/>
            <w:gridSpan w:val="4"/>
          </w:tcPr>
          <w:p>
            <w:pPr>
              <w:pStyle w:val="3"/>
              <w:jc w:val="center"/>
              <w:rPr>
                <w:b/>
                <w:sz w:val="24"/>
              </w:rPr>
            </w:pPr>
            <w:r>
              <w:rPr>
                <w:rFonts w:hint="eastAsia"/>
                <w:sz w:val="28"/>
              </w:rPr>
              <w:t xml:space="preserve">通过 </w:t>
            </w:r>
            <w:r>
              <w:rPr>
                <w:rFonts w:hint="eastAsia"/>
                <w:b/>
                <w:sz w:val="28"/>
              </w:rPr>
              <w:t xml:space="preserve"> □  </w:t>
            </w:r>
            <w:r>
              <w:rPr>
                <w:rFonts w:hint="eastAsia"/>
                <w:b/>
                <w:sz w:val="24"/>
              </w:rPr>
              <w:t xml:space="preserve"> </w:t>
            </w:r>
            <w:r>
              <w:rPr>
                <w:b/>
                <w:sz w:val="24"/>
              </w:rPr>
              <w:t xml:space="preserve"> </w:t>
            </w:r>
            <w:r>
              <w:rPr>
                <w:rFonts w:hint="eastAsia"/>
                <w:b/>
                <w:sz w:val="24"/>
              </w:rPr>
              <w:t xml:space="preserve"> </w:t>
            </w:r>
            <w:r>
              <w:rPr>
                <w:rFonts w:hint="eastAsia"/>
                <w:sz w:val="28"/>
              </w:rPr>
              <w:t xml:space="preserve"> 不通过</w:t>
            </w:r>
            <w:r>
              <w:rPr>
                <w:rFonts w:hint="eastAsia"/>
                <w:b/>
                <w:sz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5" w:hRule="atLeast"/>
        </w:trPr>
        <w:tc>
          <w:tcPr>
            <w:tcW w:w="2943" w:type="dxa"/>
            <w:gridSpan w:val="2"/>
          </w:tcPr>
          <w:p>
            <w:pPr>
              <w:pStyle w:val="3"/>
              <w:jc w:val="center"/>
              <w:rPr>
                <w:b/>
                <w:sz w:val="28"/>
              </w:rPr>
            </w:pPr>
          </w:p>
        </w:tc>
        <w:tc>
          <w:tcPr>
            <w:tcW w:w="5673" w:type="dxa"/>
            <w:gridSpan w:val="4"/>
          </w:tcPr>
          <w:p>
            <w:pPr>
              <w:pStyle w:val="3"/>
              <w:jc w:val="center"/>
              <w:rPr>
                <w:sz w:val="28"/>
              </w:rPr>
            </w:pPr>
          </w:p>
        </w:tc>
      </w:tr>
    </w:tbl>
    <w:p>
      <w:pPr>
        <w:pStyle w:val="3"/>
        <w:spacing w:line="360" w:lineRule="exact"/>
        <w:rPr>
          <w:b/>
          <w:sz w:val="24"/>
        </w:rPr>
      </w:pPr>
      <w:r>
        <w:rPr>
          <w:rFonts w:hint="eastAsia"/>
          <w:b/>
          <w:sz w:val="24"/>
        </w:rPr>
        <w:t>注：</w:t>
      </w:r>
    </w:p>
    <w:p>
      <w:pPr>
        <w:pStyle w:val="3"/>
        <w:spacing w:line="360" w:lineRule="exact"/>
        <w:rPr>
          <w:sz w:val="24"/>
        </w:rPr>
      </w:pPr>
      <w:r>
        <w:rPr>
          <w:rFonts w:hint="eastAsia"/>
          <w:sz w:val="24"/>
        </w:rPr>
        <w:t>1.鉴定意见不少于500字。</w:t>
      </w:r>
    </w:p>
    <w:p>
      <w:pPr>
        <w:pStyle w:val="3"/>
        <w:spacing w:line="360" w:lineRule="exact"/>
        <w:rPr>
          <w:sz w:val="24"/>
        </w:rPr>
      </w:pPr>
      <w:r>
        <w:rPr>
          <w:rFonts w:hint="eastAsia"/>
          <w:sz w:val="24"/>
        </w:rPr>
        <w:t>2.出现下列情况之一者，不能通过鉴定：有严重政治问题；有剽窃或作假行为不具有科学性、创新型、规范性及应用价值等。</w:t>
      </w:r>
    </w:p>
    <w:p>
      <w:pPr>
        <w:spacing w:line="520" w:lineRule="exact"/>
        <w:rPr>
          <w:rFonts w:ascii="黑体" w:eastAsia="黑体"/>
          <w:sz w:val="32"/>
        </w:rPr>
      </w:pPr>
      <w:r>
        <w:rPr>
          <w:rFonts w:hint="eastAsia" w:ascii="黑体" w:eastAsia="黑体"/>
          <w:sz w:val="32"/>
        </w:rPr>
        <w:t>六、结题组织单位审核鉴定意见</w:t>
      </w:r>
    </w:p>
    <w:tbl>
      <w:tblPr>
        <w:tblStyle w:val="6"/>
        <w:tblW w:w="864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trPr>
        <w:tc>
          <w:tcPr>
            <w:tcW w:w="8640" w:type="dxa"/>
            <w:shd w:val="clear" w:color="auto" w:fill="auto"/>
          </w:tcPr>
          <w:p>
            <w:pPr>
              <w:spacing w:line="520" w:lineRule="exact"/>
              <w:rPr>
                <w:rFonts w:ascii="仿宋_GB2312" w:eastAsia="仿宋_GB2312"/>
                <w:b/>
                <w:sz w:val="32"/>
                <w:szCs w:val="32"/>
              </w:rPr>
            </w:pPr>
            <w:r>
              <w:rPr>
                <w:rFonts w:hint="eastAsia" w:ascii="仿宋_GB2312" w:eastAsia="仿宋_GB2312"/>
                <w:b/>
                <w:sz w:val="32"/>
                <w:szCs w:val="32"/>
              </w:rPr>
              <w:t>市级</w:t>
            </w:r>
            <w:r>
              <w:rPr>
                <w:rFonts w:ascii="仿宋_GB2312" w:eastAsia="仿宋_GB2312"/>
                <w:b/>
                <w:sz w:val="32"/>
                <w:szCs w:val="32"/>
              </w:rPr>
              <w:t>教育信息化课题主管部门</w:t>
            </w:r>
            <w:r>
              <w:rPr>
                <w:rFonts w:hint="eastAsia" w:ascii="仿宋_GB2312" w:eastAsia="仿宋_GB2312"/>
                <w:b/>
                <w:sz w:val="32"/>
                <w:szCs w:val="32"/>
              </w:rPr>
              <w:t>、</w:t>
            </w:r>
            <w:r>
              <w:rPr>
                <w:rFonts w:ascii="仿宋_GB2312" w:eastAsia="仿宋_GB2312"/>
                <w:b/>
                <w:sz w:val="32"/>
                <w:szCs w:val="32"/>
              </w:rPr>
              <w:t>高等</w:t>
            </w:r>
            <w:r>
              <w:rPr>
                <w:rFonts w:hint="eastAsia" w:ascii="仿宋_GB2312" w:eastAsia="仿宋_GB2312"/>
                <w:b/>
                <w:sz w:val="32"/>
                <w:szCs w:val="32"/>
              </w:rPr>
              <w:t>院</w:t>
            </w:r>
            <w:r>
              <w:rPr>
                <w:rFonts w:ascii="仿宋_GB2312" w:eastAsia="仿宋_GB2312"/>
                <w:b/>
                <w:sz w:val="32"/>
                <w:szCs w:val="32"/>
              </w:rPr>
              <w:t>校审核鉴定意见</w:t>
            </w:r>
          </w:p>
          <w:p>
            <w:pPr>
              <w:spacing w:line="520" w:lineRule="exact"/>
              <w:rPr>
                <w:rFonts w:ascii="仿宋_GB2312" w:eastAsia="仿宋_GB2312"/>
                <w:b/>
                <w:sz w:val="32"/>
                <w:szCs w:val="32"/>
              </w:rPr>
            </w:pPr>
          </w:p>
          <w:p>
            <w:pPr>
              <w:spacing w:line="520" w:lineRule="exact"/>
              <w:rPr>
                <w:rFonts w:ascii="仿宋_GB2312" w:eastAsia="仿宋_GB2312"/>
                <w:b/>
                <w:sz w:val="32"/>
                <w:szCs w:val="32"/>
              </w:rPr>
            </w:pPr>
          </w:p>
          <w:p>
            <w:pPr>
              <w:spacing w:line="520" w:lineRule="exact"/>
              <w:rPr>
                <w:rFonts w:ascii="仿宋_GB2312" w:eastAsia="仿宋_GB2312"/>
                <w:b/>
                <w:sz w:val="32"/>
                <w:szCs w:val="32"/>
              </w:rPr>
            </w:pPr>
          </w:p>
          <w:p>
            <w:pPr>
              <w:spacing w:line="520" w:lineRule="exact"/>
              <w:rPr>
                <w:rFonts w:ascii="仿宋_GB2312" w:eastAsia="仿宋_GB2312"/>
                <w:b/>
                <w:sz w:val="32"/>
                <w:szCs w:val="32"/>
              </w:rPr>
            </w:pPr>
          </w:p>
          <w:p>
            <w:pPr>
              <w:spacing w:line="520" w:lineRule="exact"/>
              <w:rPr>
                <w:rFonts w:ascii="仿宋_GB2312" w:eastAsia="仿宋_GB2312"/>
                <w:b/>
                <w:sz w:val="32"/>
                <w:szCs w:val="32"/>
              </w:rPr>
            </w:pPr>
          </w:p>
          <w:p>
            <w:pPr>
              <w:spacing w:line="520" w:lineRule="exact"/>
              <w:rPr>
                <w:rFonts w:ascii="仿宋_GB2312" w:eastAsia="仿宋_GB2312"/>
                <w:b/>
                <w:sz w:val="32"/>
                <w:szCs w:val="32"/>
              </w:rPr>
            </w:pPr>
          </w:p>
          <w:p>
            <w:pPr>
              <w:spacing w:line="520" w:lineRule="exact"/>
              <w:rPr>
                <w:rFonts w:ascii="仿宋_GB2312" w:eastAsia="仿宋_GB2312"/>
                <w:b/>
                <w:sz w:val="32"/>
                <w:szCs w:val="32"/>
              </w:rPr>
            </w:pPr>
          </w:p>
          <w:p>
            <w:pPr>
              <w:spacing w:line="520" w:lineRule="exact"/>
              <w:ind w:firstLine="3200" w:firstLineChars="1000"/>
              <w:rPr>
                <w:rFonts w:ascii="仿宋_GB2312" w:eastAsia="仿宋_GB2312"/>
                <w:sz w:val="32"/>
                <w:szCs w:val="32"/>
              </w:rPr>
            </w:pPr>
            <w:r>
              <w:rPr>
                <w:rFonts w:hint="eastAsia" w:ascii="仿宋_GB2312" w:eastAsia="仿宋_GB2312"/>
                <w:sz w:val="32"/>
                <w:szCs w:val="32"/>
              </w:rPr>
              <w:t>单位公章：</w:t>
            </w:r>
          </w:p>
          <w:p>
            <w:pPr>
              <w:spacing w:line="520" w:lineRule="exact"/>
              <w:rPr>
                <w:rFonts w:ascii="仿宋_GB2312" w:eastAsia="仿宋_GB2312"/>
                <w:sz w:val="32"/>
                <w:szCs w:val="32"/>
              </w:rPr>
            </w:pPr>
            <w:r>
              <w:rPr>
                <w:rFonts w:hint="eastAsia" w:ascii="仿宋_GB2312" w:eastAsia="仿宋_GB2312"/>
                <w:sz w:val="32"/>
                <w:szCs w:val="32"/>
              </w:rPr>
              <w:t xml:space="preserve">                                    </w:t>
            </w:r>
          </w:p>
          <w:p>
            <w:pPr>
              <w:spacing w:line="520" w:lineRule="exact"/>
              <w:ind w:firstLine="5120" w:firstLineChars="1600"/>
              <w:rPr>
                <w:rFonts w:ascii="仿宋_GB2312" w:eastAsia="仿宋_GB2312"/>
                <w:b/>
                <w:sz w:val="32"/>
                <w:szCs w:val="32"/>
              </w:rPr>
            </w:pPr>
            <w:r>
              <w:rPr>
                <w:rFonts w:hint="eastAsia" w:ascii="仿宋_GB2312" w:eastAsia="仿宋_GB2312"/>
                <w:sz w:val="32"/>
                <w:szCs w:val="32"/>
              </w:rPr>
              <w:t>年   月   日</w:t>
            </w:r>
          </w:p>
          <w:p>
            <w:pPr>
              <w:spacing w:line="520" w:lineRule="exact"/>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trPr>
        <w:tc>
          <w:tcPr>
            <w:tcW w:w="8640" w:type="dxa"/>
            <w:shd w:val="clear" w:color="auto" w:fill="auto"/>
          </w:tcPr>
          <w:p>
            <w:pPr>
              <w:spacing w:line="520" w:lineRule="exact"/>
              <w:rPr>
                <w:rFonts w:ascii="仿宋_GB2312" w:eastAsia="仿宋_GB2312"/>
                <w:b/>
                <w:sz w:val="32"/>
                <w:szCs w:val="32"/>
              </w:rPr>
            </w:pPr>
            <w:r>
              <w:rPr>
                <w:rFonts w:ascii="仿宋_GB2312" w:eastAsia="仿宋_GB2312"/>
                <w:b/>
                <w:sz w:val="32"/>
                <w:szCs w:val="32"/>
              </w:rPr>
              <w:t>省</w:t>
            </w:r>
            <w:r>
              <w:rPr>
                <w:rFonts w:hint="eastAsia" w:ascii="仿宋_GB2312" w:eastAsia="仿宋_GB2312"/>
                <w:b/>
                <w:sz w:val="32"/>
                <w:szCs w:val="32"/>
              </w:rPr>
              <w:t>电教馆（省</w:t>
            </w:r>
            <w:r>
              <w:rPr>
                <w:rFonts w:ascii="仿宋_GB2312" w:eastAsia="仿宋_GB2312"/>
                <w:b/>
                <w:sz w:val="32"/>
                <w:szCs w:val="32"/>
              </w:rPr>
              <w:t>教育信息化中心</w:t>
            </w:r>
            <w:r>
              <w:rPr>
                <w:rFonts w:hint="eastAsia" w:ascii="仿宋_GB2312" w:eastAsia="仿宋_GB2312"/>
                <w:b/>
                <w:sz w:val="32"/>
                <w:szCs w:val="32"/>
              </w:rPr>
              <w:t>）复核鉴定意见</w:t>
            </w:r>
          </w:p>
          <w:p>
            <w:pPr>
              <w:spacing w:line="520" w:lineRule="exact"/>
              <w:rPr>
                <w:rFonts w:ascii="仿宋_GB2312" w:eastAsia="仿宋_GB2312"/>
                <w:b/>
                <w:sz w:val="32"/>
                <w:szCs w:val="32"/>
              </w:rPr>
            </w:pPr>
          </w:p>
          <w:p>
            <w:pPr>
              <w:spacing w:line="520" w:lineRule="exact"/>
              <w:rPr>
                <w:rFonts w:ascii="仿宋_GB2312" w:eastAsia="仿宋_GB2312"/>
                <w:b/>
                <w:sz w:val="32"/>
                <w:szCs w:val="32"/>
              </w:rPr>
            </w:pPr>
          </w:p>
          <w:p>
            <w:pPr>
              <w:spacing w:line="520" w:lineRule="exact"/>
              <w:rPr>
                <w:rFonts w:ascii="仿宋_GB2312" w:eastAsia="仿宋_GB2312"/>
                <w:b/>
                <w:sz w:val="32"/>
                <w:szCs w:val="32"/>
              </w:rPr>
            </w:pPr>
          </w:p>
          <w:p>
            <w:pPr>
              <w:spacing w:line="520" w:lineRule="exact"/>
              <w:rPr>
                <w:rFonts w:ascii="仿宋_GB2312" w:eastAsia="仿宋_GB2312"/>
                <w:b/>
                <w:sz w:val="32"/>
                <w:szCs w:val="32"/>
              </w:rPr>
            </w:pPr>
          </w:p>
          <w:p>
            <w:pPr>
              <w:spacing w:line="520" w:lineRule="exact"/>
              <w:rPr>
                <w:rFonts w:ascii="仿宋_GB2312" w:eastAsia="仿宋_GB2312"/>
                <w:b/>
                <w:sz w:val="32"/>
                <w:szCs w:val="32"/>
              </w:rPr>
            </w:pPr>
          </w:p>
          <w:p>
            <w:pPr>
              <w:spacing w:line="520" w:lineRule="exact"/>
              <w:rPr>
                <w:rFonts w:ascii="仿宋_GB2312" w:eastAsia="仿宋_GB2312"/>
                <w:b/>
                <w:sz w:val="32"/>
                <w:szCs w:val="32"/>
              </w:rPr>
            </w:pPr>
          </w:p>
          <w:p>
            <w:pPr>
              <w:spacing w:line="520" w:lineRule="exact"/>
              <w:rPr>
                <w:rFonts w:ascii="仿宋_GB2312" w:eastAsia="仿宋_GB2312"/>
                <w:b/>
                <w:sz w:val="32"/>
                <w:szCs w:val="32"/>
              </w:rPr>
            </w:pPr>
          </w:p>
          <w:p>
            <w:pPr>
              <w:spacing w:line="520" w:lineRule="exact"/>
              <w:ind w:firstLine="3200" w:firstLineChars="1000"/>
              <w:rPr>
                <w:rFonts w:ascii="仿宋_GB2312" w:eastAsia="仿宋_GB2312"/>
                <w:sz w:val="32"/>
                <w:szCs w:val="32"/>
              </w:rPr>
            </w:pPr>
            <w:r>
              <w:rPr>
                <w:rFonts w:hint="eastAsia" w:ascii="仿宋_GB2312" w:eastAsia="仿宋_GB2312"/>
                <w:sz w:val="32"/>
                <w:szCs w:val="32"/>
              </w:rPr>
              <w:t>单位公章：</w:t>
            </w:r>
          </w:p>
          <w:p>
            <w:pPr>
              <w:spacing w:line="520" w:lineRule="exact"/>
              <w:rPr>
                <w:rFonts w:ascii="仿宋_GB2312" w:eastAsia="仿宋_GB2312"/>
                <w:sz w:val="32"/>
                <w:szCs w:val="32"/>
              </w:rPr>
            </w:pPr>
            <w:r>
              <w:rPr>
                <w:rFonts w:hint="eastAsia" w:ascii="仿宋_GB2312" w:eastAsia="仿宋_GB2312"/>
                <w:sz w:val="32"/>
                <w:szCs w:val="32"/>
              </w:rPr>
              <w:t xml:space="preserve">                                    </w:t>
            </w:r>
          </w:p>
          <w:p>
            <w:pPr>
              <w:spacing w:line="520" w:lineRule="exact"/>
              <w:ind w:firstLine="5120" w:firstLineChars="1600"/>
              <w:rPr>
                <w:rFonts w:ascii="仿宋_GB2312" w:eastAsia="仿宋_GB2312"/>
                <w:b/>
                <w:sz w:val="32"/>
                <w:szCs w:val="32"/>
              </w:rPr>
            </w:pPr>
            <w:r>
              <w:rPr>
                <w:rFonts w:hint="eastAsia" w:ascii="仿宋_GB2312" w:eastAsia="仿宋_GB2312"/>
                <w:sz w:val="32"/>
                <w:szCs w:val="32"/>
              </w:rPr>
              <w:t>年   月   日</w:t>
            </w:r>
          </w:p>
          <w:p>
            <w:pPr>
              <w:spacing w:line="520" w:lineRule="exact"/>
              <w:rPr>
                <w:rFonts w:ascii="仿宋_GB2312" w:eastAsia="仿宋_GB2312"/>
                <w:b/>
                <w:sz w:val="32"/>
                <w:szCs w:val="32"/>
              </w:rPr>
            </w:pPr>
          </w:p>
        </w:tc>
      </w:tr>
      <w:bookmarkEnd w:id="0"/>
    </w:tbl>
    <w:p>
      <w:pPr>
        <w:pStyle w:val="3"/>
        <w:spacing w:line="400" w:lineRule="exact"/>
      </w:pPr>
    </w:p>
    <w:p/>
    <w:sectPr>
      <w:footerReference r:id="rId3" w:type="default"/>
      <w:footerReference r:id="rId4" w:type="even"/>
      <w:pgSz w:w="11906" w:h="16838"/>
      <w:pgMar w:top="1440" w:right="1800" w:bottom="1440" w:left="1800" w:header="851" w:footer="992" w:gutter="0"/>
      <w:pgNumType w:fmt="numberInDash" w:start="4"/>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仿宋_GB2312" w:eastAsia="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rPr>
      <w:t>- 4 -</w:t>
    </w:r>
    <w:r>
      <w:rPr>
        <w:rFonts w:hint="eastAsia" w:ascii="仿宋_GB2312" w:eastAsia="仿宋_GB2312"/>
        <w:sz w:val="28"/>
        <w:szCs w:val="28"/>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170ED"/>
    <w:rsid w:val="000164FC"/>
    <w:rsid w:val="000228F8"/>
    <w:rsid w:val="000367C3"/>
    <w:rsid w:val="00050D95"/>
    <w:rsid w:val="000604CF"/>
    <w:rsid w:val="00062500"/>
    <w:rsid w:val="00073057"/>
    <w:rsid w:val="00090957"/>
    <w:rsid w:val="000A19C0"/>
    <w:rsid w:val="000A6980"/>
    <w:rsid w:val="000B560C"/>
    <w:rsid w:val="000D0EA6"/>
    <w:rsid w:val="000D3FCB"/>
    <w:rsid w:val="000E456A"/>
    <w:rsid w:val="00116FDA"/>
    <w:rsid w:val="00125151"/>
    <w:rsid w:val="00143BE1"/>
    <w:rsid w:val="00175D09"/>
    <w:rsid w:val="00177A6C"/>
    <w:rsid w:val="00184B4E"/>
    <w:rsid w:val="00186120"/>
    <w:rsid w:val="00186D14"/>
    <w:rsid w:val="001A146F"/>
    <w:rsid w:val="001E3A8E"/>
    <w:rsid w:val="0020589C"/>
    <w:rsid w:val="0021219F"/>
    <w:rsid w:val="0023002B"/>
    <w:rsid w:val="00230301"/>
    <w:rsid w:val="00234ED2"/>
    <w:rsid w:val="00236E39"/>
    <w:rsid w:val="002518D5"/>
    <w:rsid w:val="00271253"/>
    <w:rsid w:val="00272B7F"/>
    <w:rsid w:val="002A56F7"/>
    <w:rsid w:val="002B0528"/>
    <w:rsid w:val="002B76B8"/>
    <w:rsid w:val="002C0D88"/>
    <w:rsid w:val="002D46DC"/>
    <w:rsid w:val="002D7098"/>
    <w:rsid w:val="002E7695"/>
    <w:rsid w:val="002F6F76"/>
    <w:rsid w:val="0030312E"/>
    <w:rsid w:val="0030419A"/>
    <w:rsid w:val="00311EE9"/>
    <w:rsid w:val="003169BD"/>
    <w:rsid w:val="00343420"/>
    <w:rsid w:val="00363AC5"/>
    <w:rsid w:val="00367B11"/>
    <w:rsid w:val="003932E7"/>
    <w:rsid w:val="00395FF9"/>
    <w:rsid w:val="00396E6E"/>
    <w:rsid w:val="003B0A07"/>
    <w:rsid w:val="003B4AF1"/>
    <w:rsid w:val="003B6778"/>
    <w:rsid w:val="003C63E6"/>
    <w:rsid w:val="003E5395"/>
    <w:rsid w:val="003F757E"/>
    <w:rsid w:val="004046EB"/>
    <w:rsid w:val="004545BD"/>
    <w:rsid w:val="0045482C"/>
    <w:rsid w:val="004638D1"/>
    <w:rsid w:val="0047700A"/>
    <w:rsid w:val="004814D9"/>
    <w:rsid w:val="00482AA8"/>
    <w:rsid w:val="00485B33"/>
    <w:rsid w:val="004867C7"/>
    <w:rsid w:val="004935B7"/>
    <w:rsid w:val="004B0CD3"/>
    <w:rsid w:val="004B5C47"/>
    <w:rsid w:val="004B636C"/>
    <w:rsid w:val="004F714F"/>
    <w:rsid w:val="00510B06"/>
    <w:rsid w:val="005153FA"/>
    <w:rsid w:val="005349FE"/>
    <w:rsid w:val="005357BD"/>
    <w:rsid w:val="00540F7F"/>
    <w:rsid w:val="00587BA5"/>
    <w:rsid w:val="0059383D"/>
    <w:rsid w:val="00595054"/>
    <w:rsid w:val="00596418"/>
    <w:rsid w:val="005A043A"/>
    <w:rsid w:val="005B222E"/>
    <w:rsid w:val="005B2329"/>
    <w:rsid w:val="005C46C3"/>
    <w:rsid w:val="005E1A8B"/>
    <w:rsid w:val="005F2080"/>
    <w:rsid w:val="006051F0"/>
    <w:rsid w:val="00614B68"/>
    <w:rsid w:val="00621DE6"/>
    <w:rsid w:val="00625D5F"/>
    <w:rsid w:val="00640F4B"/>
    <w:rsid w:val="00664986"/>
    <w:rsid w:val="006733BA"/>
    <w:rsid w:val="00674FEB"/>
    <w:rsid w:val="006810ED"/>
    <w:rsid w:val="006923C9"/>
    <w:rsid w:val="006B0FA7"/>
    <w:rsid w:val="006B390E"/>
    <w:rsid w:val="006C78D3"/>
    <w:rsid w:val="006D046A"/>
    <w:rsid w:val="006D11F3"/>
    <w:rsid w:val="006D2E08"/>
    <w:rsid w:val="006E5AE0"/>
    <w:rsid w:val="007011DE"/>
    <w:rsid w:val="00704CCB"/>
    <w:rsid w:val="007173B0"/>
    <w:rsid w:val="00727151"/>
    <w:rsid w:val="00730BE8"/>
    <w:rsid w:val="00745DE4"/>
    <w:rsid w:val="00750A3D"/>
    <w:rsid w:val="007529B3"/>
    <w:rsid w:val="00756061"/>
    <w:rsid w:val="00793AE5"/>
    <w:rsid w:val="007C2D32"/>
    <w:rsid w:val="007F3497"/>
    <w:rsid w:val="007F5FFB"/>
    <w:rsid w:val="00803988"/>
    <w:rsid w:val="008170ED"/>
    <w:rsid w:val="008316A0"/>
    <w:rsid w:val="00831C94"/>
    <w:rsid w:val="00837FCF"/>
    <w:rsid w:val="00845246"/>
    <w:rsid w:val="00847F7D"/>
    <w:rsid w:val="00861C39"/>
    <w:rsid w:val="00873A00"/>
    <w:rsid w:val="008756EC"/>
    <w:rsid w:val="008A022E"/>
    <w:rsid w:val="008A6A11"/>
    <w:rsid w:val="008B78D0"/>
    <w:rsid w:val="008C1C84"/>
    <w:rsid w:val="008C43E5"/>
    <w:rsid w:val="008E3012"/>
    <w:rsid w:val="008F75A2"/>
    <w:rsid w:val="009007EC"/>
    <w:rsid w:val="009169D0"/>
    <w:rsid w:val="00921690"/>
    <w:rsid w:val="00921FD9"/>
    <w:rsid w:val="009267D8"/>
    <w:rsid w:val="00932CC1"/>
    <w:rsid w:val="00944611"/>
    <w:rsid w:val="0095690B"/>
    <w:rsid w:val="00973FED"/>
    <w:rsid w:val="009954DE"/>
    <w:rsid w:val="009B6455"/>
    <w:rsid w:val="009C37FF"/>
    <w:rsid w:val="009C7086"/>
    <w:rsid w:val="009E4AF9"/>
    <w:rsid w:val="00A0242B"/>
    <w:rsid w:val="00A07419"/>
    <w:rsid w:val="00A16CDD"/>
    <w:rsid w:val="00A43C81"/>
    <w:rsid w:val="00A53260"/>
    <w:rsid w:val="00A703B3"/>
    <w:rsid w:val="00A70810"/>
    <w:rsid w:val="00A70E05"/>
    <w:rsid w:val="00A82275"/>
    <w:rsid w:val="00A90B69"/>
    <w:rsid w:val="00A94001"/>
    <w:rsid w:val="00AB0F33"/>
    <w:rsid w:val="00AF4A5F"/>
    <w:rsid w:val="00B21BD9"/>
    <w:rsid w:val="00B222D4"/>
    <w:rsid w:val="00B27A49"/>
    <w:rsid w:val="00B4116A"/>
    <w:rsid w:val="00B469D0"/>
    <w:rsid w:val="00B56F9A"/>
    <w:rsid w:val="00B64A84"/>
    <w:rsid w:val="00B65A28"/>
    <w:rsid w:val="00B71E79"/>
    <w:rsid w:val="00B80747"/>
    <w:rsid w:val="00B92F39"/>
    <w:rsid w:val="00BA5C8E"/>
    <w:rsid w:val="00BB6CB3"/>
    <w:rsid w:val="00BC580C"/>
    <w:rsid w:val="00BC6B83"/>
    <w:rsid w:val="00BD3DD4"/>
    <w:rsid w:val="00BE58A1"/>
    <w:rsid w:val="00BE7C60"/>
    <w:rsid w:val="00BF42BB"/>
    <w:rsid w:val="00BF7287"/>
    <w:rsid w:val="00C1204B"/>
    <w:rsid w:val="00C31476"/>
    <w:rsid w:val="00C42379"/>
    <w:rsid w:val="00C5139D"/>
    <w:rsid w:val="00C66E5B"/>
    <w:rsid w:val="00C75804"/>
    <w:rsid w:val="00C865E5"/>
    <w:rsid w:val="00C91B4B"/>
    <w:rsid w:val="00CA2D22"/>
    <w:rsid w:val="00CA36C0"/>
    <w:rsid w:val="00CA6DB0"/>
    <w:rsid w:val="00CB002E"/>
    <w:rsid w:val="00CB7654"/>
    <w:rsid w:val="00CD6828"/>
    <w:rsid w:val="00CD6873"/>
    <w:rsid w:val="00CF53A1"/>
    <w:rsid w:val="00D03219"/>
    <w:rsid w:val="00D428EE"/>
    <w:rsid w:val="00D45C07"/>
    <w:rsid w:val="00D71DF2"/>
    <w:rsid w:val="00DC4FC9"/>
    <w:rsid w:val="00DE7A41"/>
    <w:rsid w:val="00DF4687"/>
    <w:rsid w:val="00E20A59"/>
    <w:rsid w:val="00E21260"/>
    <w:rsid w:val="00E3098B"/>
    <w:rsid w:val="00E315C9"/>
    <w:rsid w:val="00E45EF2"/>
    <w:rsid w:val="00E56EDD"/>
    <w:rsid w:val="00E8367E"/>
    <w:rsid w:val="00EA3133"/>
    <w:rsid w:val="00EA377E"/>
    <w:rsid w:val="00EA37DA"/>
    <w:rsid w:val="00EB2ECE"/>
    <w:rsid w:val="00EC5BDA"/>
    <w:rsid w:val="00ED5DC1"/>
    <w:rsid w:val="00EF4B56"/>
    <w:rsid w:val="00EF53D8"/>
    <w:rsid w:val="00F07A92"/>
    <w:rsid w:val="00F30AB6"/>
    <w:rsid w:val="00F372EA"/>
    <w:rsid w:val="00F475FF"/>
    <w:rsid w:val="00F70379"/>
    <w:rsid w:val="00F76F48"/>
    <w:rsid w:val="00F87E42"/>
    <w:rsid w:val="00F97855"/>
    <w:rsid w:val="00FC19A2"/>
    <w:rsid w:val="00FC5237"/>
    <w:rsid w:val="00FD0016"/>
    <w:rsid w:val="00FE5E7B"/>
    <w:rsid w:val="00FF4755"/>
    <w:rsid w:val="00FF5B36"/>
    <w:rsid w:val="00FF65AF"/>
    <w:rsid w:val="3BA322C1"/>
    <w:rsid w:val="460A6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ind w:firstLine="538"/>
    </w:pPr>
    <w:rPr>
      <w:rFonts w:ascii="仿宋_GB2312" w:hAnsi="宋体" w:eastAsia="仿宋_GB2312"/>
      <w:kern w:val="0"/>
      <w:sz w:val="32"/>
      <w:szCs w:val="20"/>
    </w:rPr>
  </w:style>
  <w:style w:type="paragraph" w:styleId="3">
    <w:name w:val="Plain Text"/>
    <w:basedOn w:val="1"/>
    <w:link w:val="9"/>
    <w:unhideWhenUsed/>
    <w:qFormat/>
    <w:uiPriority w:val="99"/>
    <w:rPr>
      <w:rFonts w:ascii="宋体" w:hAnsi="Courier New"/>
      <w:szCs w:val="20"/>
    </w:rPr>
  </w:style>
  <w:style w:type="paragraph" w:styleId="4">
    <w:name w:val="footer"/>
    <w:basedOn w:val="1"/>
    <w:link w:val="11"/>
    <w:unhideWhenUsed/>
    <w:qFormat/>
    <w:uiPriority w:val="99"/>
    <w:pPr>
      <w:tabs>
        <w:tab w:val="center" w:pos="4153"/>
        <w:tab w:val="right" w:pos="8306"/>
      </w:tabs>
      <w:snapToGrid w:val="0"/>
      <w:jc w:val="left"/>
    </w:pPr>
    <w:rPr>
      <w:sz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正文文本缩进 字符"/>
    <w:basedOn w:val="7"/>
    <w:link w:val="2"/>
    <w:qFormat/>
    <w:uiPriority w:val="0"/>
    <w:rPr>
      <w:rFonts w:ascii="仿宋_GB2312" w:hAnsi="宋体" w:eastAsia="仿宋_GB2312" w:cs="Times New Roman"/>
      <w:kern w:val="0"/>
      <w:sz w:val="32"/>
      <w:szCs w:val="20"/>
    </w:rPr>
  </w:style>
  <w:style w:type="character" w:customStyle="1" w:styleId="9">
    <w:name w:val="纯文本 字符"/>
    <w:basedOn w:val="7"/>
    <w:link w:val="3"/>
    <w:qFormat/>
    <w:uiPriority w:val="99"/>
    <w:rPr>
      <w:rFonts w:ascii="宋体" w:hAnsi="Courier New" w:eastAsia="宋体" w:cs="Times New Roman"/>
      <w:szCs w:val="20"/>
    </w:rPr>
  </w:style>
  <w:style w:type="character" w:customStyle="1" w:styleId="10">
    <w:name w:val="页脚 Char"/>
    <w:basedOn w:val="7"/>
    <w:semiHidden/>
    <w:qFormat/>
    <w:uiPriority w:val="99"/>
    <w:rPr>
      <w:rFonts w:ascii="Times New Roman" w:hAnsi="Times New Roman" w:eastAsia="宋体" w:cs="Times New Roman"/>
      <w:sz w:val="18"/>
      <w:szCs w:val="18"/>
    </w:rPr>
  </w:style>
  <w:style w:type="character" w:customStyle="1" w:styleId="11">
    <w:name w:val="页脚 字符"/>
    <w:link w:val="4"/>
    <w:qFormat/>
    <w:uiPriority w:val="99"/>
    <w:rPr>
      <w:rFonts w:ascii="Times New Roman" w:hAnsi="Times New Roman" w:eastAsia="宋体" w:cs="Times New Roman"/>
      <w:sz w:val="18"/>
      <w:szCs w:val="24"/>
    </w:rPr>
  </w:style>
  <w:style w:type="character" w:customStyle="1" w:styleId="12">
    <w:name w:val="页眉 字符"/>
    <w:basedOn w:val="7"/>
    <w:link w:val="5"/>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20CB91-9B1E-4FD6-8DA1-7C89B99992C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36</Pages>
  <Words>3119</Words>
  <Characters>17784</Characters>
  <Lines>148</Lines>
  <Paragraphs>41</Paragraphs>
  <TotalTime>1</TotalTime>
  <ScaleCrop>false</ScaleCrop>
  <LinksUpToDate>false</LinksUpToDate>
  <CharactersWithSpaces>20862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2020-03-25T03:16:00Z</dcterms:created>
  <dc:creator>ZL</dc:creator>
  <cp:lastModifiedBy>Aurora</cp:lastModifiedBy>
  <dcterms:modified xsi:type="dcterms:W3CDTF">2020-04-12T04:56:20Z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