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libri" w:hAnsi="Calibri" w:eastAsia="宋体" w:cs="Times New Roman"/>
          <w:sz w:val="28"/>
          <w:szCs w:val="28"/>
        </w:rPr>
      </w:pPr>
      <w:r>
        <w:rPr>
          <w:rFonts w:hint="eastAsia" w:ascii="Calibri" w:hAnsi="Calibri" w:eastAsia="宋体" w:cs="Times New Roman"/>
          <w:sz w:val="28"/>
          <w:szCs w:val="28"/>
        </w:rPr>
        <w:t>常州市滨江中学化学组活动记录表</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Calibri" w:hAnsi="Calibri" w:eastAsia="宋体" w:cs="Times New Roman"/>
                <w:kern w:val="0"/>
                <w:szCs w:val="24"/>
              </w:rPr>
            </w:pPr>
            <w:r>
              <w:rPr>
                <w:rFonts w:hint="eastAsia" w:ascii="Calibri" w:hAnsi="Calibri" w:eastAsia="宋体" w:cs="Times New Roman"/>
                <w:kern w:val="0"/>
                <w:szCs w:val="24"/>
              </w:rPr>
              <w:t>活动时间：2020年</w:t>
            </w:r>
            <w:r>
              <w:rPr>
                <w:rFonts w:hint="eastAsia" w:ascii="Calibri" w:hAnsi="Calibri" w:eastAsia="宋体" w:cs="Times New Roman"/>
                <w:kern w:val="0"/>
                <w:szCs w:val="24"/>
                <w:lang w:val="en-US" w:eastAsia="zh-CN"/>
              </w:rPr>
              <w:t>10</w:t>
            </w:r>
            <w:r>
              <w:rPr>
                <w:rFonts w:hint="eastAsia" w:ascii="Calibri" w:hAnsi="Calibri" w:eastAsia="宋体" w:cs="Times New Roman"/>
                <w:kern w:val="0"/>
                <w:szCs w:val="24"/>
              </w:rPr>
              <w:t>月</w:t>
            </w:r>
            <w:r>
              <w:rPr>
                <w:rFonts w:hint="eastAsia" w:ascii="Calibri" w:hAnsi="Calibri" w:eastAsia="宋体" w:cs="Times New Roman"/>
                <w:kern w:val="0"/>
                <w:szCs w:val="24"/>
                <w:lang w:val="en-US" w:eastAsia="zh-CN"/>
              </w:rPr>
              <w:t>30</w:t>
            </w:r>
            <w:r>
              <w:rPr>
                <w:rFonts w:hint="eastAsia" w:ascii="Calibri" w:hAnsi="Calibri" w:eastAsia="宋体" w:cs="Times New Roman"/>
                <w:kern w:val="0"/>
                <w:szCs w:val="24"/>
              </w:rPr>
              <w:t>日</w:t>
            </w:r>
          </w:p>
          <w:p>
            <w:pPr>
              <w:rPr>
                <w:rFonts w:hint="default" w:ascii="Calibri" w:hAnsi="Calibri" w:eastAsia="宋体" w:cs="Times New Roman"/>
                <w:kern w:val="0"/>
                <w:szCs w:val="24"/>
                <w:lang w:val="en-US" w:eastAsia="zh-CN"/>
              </w:rPr>
            </w:pPr>
            <w:r>
              <w:rPr>
                <w:rFonts w:hint="eastAsia" w:ascii="Calibri" w:hAnsi="Calibri" w:eastAsia="宋体" w:cs="Times New Roman"/>
                <w:kern w:val="0"/>
                <w:szCs w:val="24"/>
              </w:rPr>
              <w:t>活动地点：</w:t>
            </w:r>
            <w:r>
              <w:rPr>
                <w:rFonts w:hint="eastAsia" w:ascii="Calibri" w:hAnsi="Calibri" w:eastAsia="宋体" w:cs="Times New Roman"/>
                <w:kern w:val="0"/>
                <w:szCs w:val="24"/>
                <w:lang w:val="en-US" w:eastAsia="zh-CN"/>
              </w:rPr>
              <w:t>常州市新桥初级中学</w:t>
            </w:r>
          </w:p>
          <w:p>
            <w:pPr>
              <w:rPr>
                <w:rFonts w:ascii="Calibri" w:hAnsi="Calibri" w:eastAsia="宋体" w:cs="Times New Roman"/>
                <w:kern w:val="0"/>
                <w:szCs w:val="24"/>
              </w:rPr>
            </w:pPr>
            <w:r>
              <w:rPr>
                <w:rFonts w:hint="eastAsia" w:ascii="Calibri" w:hAnsi="Calibri" w:eastAsia="宋体" w:cs="Times New Roman"/>
                <w:kern w:val="0"/>
                <w:szCs w:val="24"/>
              </w:rPr>
              <w:t>活动参与人员：</w:t>
            </w:r>
            <w:r>
              <w:rPr>
                <w:rFonts w:hint="eastAsia" w:ascii="Calibri" w:hAnsi="Calibri" w:eastAsia="宋体" w:cs="Times New Roman"/>
                <w:kern w:val="0"/>
                <w:szCs w:val="24"/>
                <w:lang w:val="en-US" w:eastAsia="zh-CN"/>
              </w:rPr>
              <w:t>全组</w:t>
            </w:r>
            <w:r>
              <w:rPr>
                <w:rFonts w:hint="eastAsia" w:ascii="Calibri" w:hAnsi="Calibri" w:eastAsia="宋体" w:cs="Times New Roman"/>
                <w:kern w:val="0"/>
                <w:szCs w:val="24"/>
              </w:rPr>
              <w:t>化学老师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2" w:hRule="atLeast"/>
        </w:trPr>
        <w:tc>
          <w:tcPr>
            <w:tcW w:w="8522" w:type="dxa"/>
          </w:tcPr>
          <w:p>
            <w:pPr>
              <w:rPr>
                <w:rFonts w:hint="eastAsia" w:ascii="Calibri" w:hAnsi="Calibri" w:eastAsia="宋体" w:cs="Times New Roman"/>
                <w:kern w:val="0"/>
                <w:szCs w:val="24"/>
              </w:rPr>
            </w:pPr>
            <w:r>
              <w:rPr>
                <w:rFonts w:hint="eastAsia" w:ascii="Calibri" w:hAnsi="Calibri" w:eastAsia="宋体" w:cs="Times New Roman"/>
                <w:kern w:val="0"/>
                <w:szCs w:val="24"/>
              </w:rPr>
              <w:t>活动具体内容（附照片文字）：</w:t>
            </w:r>
          </w:p>
          <w:p>
            <w:pPr>
              <w:jc w:val="cente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聚焦学科核心素养，思考化学实验教学</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2020年10月30日，我校化学教师齐聚在常州市新北区新桥初级中学进行教研活动。本次活动特别邀请了扬州市广陵区教师发展中心特级教师、正高级教师王国峥作了题为《聚焦学科核心素养的初中化学实验教学及思考》的讲座。王老师从实验教学的功能与作用、教材实验的研究与深化、实验创新的价值与例说三个方面聚焦学科核心素养，对初中化学教师如何进行实验教学及思考发表了自己独到的见解，给我们带来了一场收获颇丰的视听盛宴。</w:t>
            </w:r>
          </w:p>
          <w:p>
            <w:pPr>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2061845" cy="1546225"/>
                  <wp:effectExtent l="0" t="0" r="14605" b="1587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2061845" cy="1546225"/>
                          </a:xfrm>
                          <a:prstGeom prst="rect">
                            <a:avLst/>
                          </a:prstGeom>
                          <a:noFill/>
                          <a:ln>
                            <a:noFill/>
                          </a:ln>
                        </pic:spPr>
                      </pic:pic>
                    </a:graphicData>
                  </a:graphic>
                </wp:inline>
              </w:drawing>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drawing>
                <wp:inline distT="0" distB="0" distL="114300" distR="114300">
                  <wp:extent cx="2067560" cy="1551940"/>
                  <wp:effectExtent l="0" t="0" r="8890" b="10160"/>
                  <wp:docPr id="5"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
                          <pic:cNvPicPr>
                            <a:picLocks noChangeAspect="1"/>
                          </pic:cNvPicPr>
                        </pic:nvPicPr>
                        <pic:blipFill>
                          <a:blip r:embed="rId5"/>
                          <a:stretch>
                            <a:fillRect/>
                          </a:stretch>
                        </pic:blipFill>
                        <pic:spPr>
                          <a:xfrm>
                            <a:off x="0" y="0"/>
                            <a:ext cx="2067560" cy="15519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首先，王老师指出实验教学可以深度理解知识、掌握研究方法、强化证据意识、提升实验技能、培养创新精神。他认同“一门学科对学生发展的价值，除了学科领域的知识以外，从更深的层次看，还应该给予学生认识世界和解决问题提供独特的视角、思维的方法和特有的逻辑。”因此王老师认为应该让学生在实验中学习化学，看实验不等于做实验，记实验不等于背实验，教师应该让学生对实验现象进行推论和思考，从化学原理上解释实验现象。纸上得来终觉浅，心中悟出始知深。通过思考铁丝燃烧后未燃烧部分末端形成的小球说明了什么这一问题，王老师指出这就是实验现象教学的功能，这一实验现象就是基于证据推理的一个很重要的载体。</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drawing>
                <wp:anchor distT="0" distB="0" distL="114300" distR="114300" simplePos="0" relativeHeight="251659264" behindDoc="0" locked="0" layoutInCell="1" allowOverlap="1">
                  <wp:simplePos x="0" y="0"/>
                  <wp:positionH relativeFrom="column">
                    <wp:posOffset>3067050</wp:posOffset>
                  </wp:positionH>
                  <wp:positionV relativeFrom="paragraph">
                    <wp:posOffset>29210</wp:posOffset>
                  </wp:positionV>
                  <wp:extent cx="1863090" cy="1398905"/>
                  <wp:effectExtent l="0" t="0" r="3810" b="10795"/>
                  <wp:wrapSquare wrapText="bothSides"/>
                  <wp:docPr id="3"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4"/>
                          <pic:cNvPicPr>
                            <a:picLocks noChangeAspect="1"/>
                          </pic:cNvPicPr>
                        </pic:nvPicPr>
                        <pic:blipFill>
                          <a:blip r:embed="rId6"/>
                          <a:stretch>
                            <a:fillRect/>
                          </a:stretch>
                        </pic:blipFill>
                        <pic:spPr>
                          <a:xfrm>
                            <a:off x="0" y="0"/>
                            <a:ext cx="1863090" cy="1398905"/>
                          </a:xfrm>
                          <a:prstGeom prst="rect">
                            <a:avLst/>
                          </a:prstGeom>
                          <a:noFill/>
                          <a:ln>
                            <a:noFill/>
                          </a:ln>
                        </pic:spPr>
                      </pic:pic>
                    </a:graphicData>
                  </a:graphic>
                </wp:anchor>
              </w:drawing>
            </w:r>
            <w:r>
              <w:rPr>
                <w:rFonts w:hint="default" w:ascii="Times New Roman" w:hAnsi="Times New Roman" w:cs="Times New Roman"/>
                <w:sz w:val="24"/>
                <w:szCs w:val="24"/>
                <w:lang w:val="en-US" w:eastAsia="zh-CN"/>
              </w:rPr>
              <w:drawing>
                <wp:anchor distT="0" distB="0" distL="114300" distR="114300" simplePos="0" relativeHeight="251658240" behindDoc="1" locked="0" layoutInCell="1" allowOverlap="1">
                  <wp:simplePos x="0" y="0"/>
                  <wp:positionH relativeFrom="column">
                    <wp:posOffset>228600</wp:posOffset>
                  </wp:positionH>
                  <wp:positionV relativeFrom="paragraph">
                    <wp:posOffset>29210</wp:posOffset>
                  </wp:positionV>
                  <wp:extent cx="1852295" cy="1389380"/>
                  <wp:effectExtent l="0" t="0" r="14605" b="1270"/>
                  <wp:wrapTight wrapText="bothSides">
                    <wp:wrapPolygon>
                      <wp:start x="0" y="0"/>
                      <wp:lineTo x="0" y="21324"/>
                      <wp:lineTo x="21326" y="21324"/>
                      <wp:lineTo x="21326" y="0"/>
                      <wp:lineTo x="0" y="0"/>
                    </wp:wrapPolygon>
                  </wp:wrapTight>
                  <wp:docPr id="6"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3"/>
                          <pic:cNvPicPr>
                            <a:picLocks noChangeAspect="1"/>
                          </pic:cNvPicPr>
                        </pic:nvPicPr>
                        <pic:blipFill>
                          <a:blip r:embed="rId7"/>
                          <a:stretch>
                            <a:fillRect/>
                          </a:stretch>
                        </pic:blipFill>
                        <pic:spPr>
                          <a:xfrm>
                            <a:off x="0" y="0"/>
                            <a:ext cx="1852295" cy="1389380"/>
                          </a:xfrm>
                          <a:prstGeom prst="rect">
                            <a:avLst/>
                          </a:prstGeom>
                          <a:noFill/>
                          <a:ln>
                            <a:noFill/>
                          </a:ln>
                        </pic:spPr>
                      </pic:pic>
                    </a:graphicData>
                  </a:graphic>
                </wp:anchor>
              </w:drawing>
            </w:r>
            <w:r>
              <w:rPr>
                <w:rFonts w:hint="eastAsia" w:ascii="Times New Roman" w:hAnsi="Times New Roman" w:eastAsia="宋体" w:cs="Times New Roman"/>
                <w:sz w:val="24"/>
                <w:szCs w:val="24"/>
                <w:lang w:val="en-US" w:eastAsia="zh-CN"/>
              </w:rPr>
              <w:t xml:space="preserve">    </w:t>
            </w:r>
          </w:p>
          <w:p>
            <w:pPr>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eastAsia="宋体" w:cs="Times New Roman"/>
                <w:sz w:val="24"/>
                <w:szCs w:val="24"/>
                <w:lang w:val="en-US" w:eastAsia="zh-CN"/>
              </w:rPr>
              <w:t>其次，王老师通过铁丝生锈实验、空气中氧气含量的测定、原子结构的发现、二氧化碳的性质与制取、鸡蛋在盐酸中沉浮等丰富的课例对教材实验进行研究与深化，帮助我们分析教材编排的意图，进而揭示知识体系所隐含的学科观念。课例5通过分析鸡蛋能在盐酸中沉浮的原因，拟定实验操作步骤，然后观看鸡蛋在盐酸中的沉浮实验视频，引起在场教师的热情探讨，气氛顿时活跃起来。</w:t>
            </w:r>
          </w:p>
          <w:p>
            <w:pPr>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2068830" cy="1551305"/>
                  <wp:effectExtent l="0" t="0" r="7620" b="10795"/>
                  <wp:docPr id="4"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5"/>
                          <pic:cNvPicPr>
                            <a:picLocks noChangeAspect="1"/>
                          </pic:cNvPicPr>
                        </pic:nvPicPr>
                        <pic:blipFill>
                          <a:blip r:embed="rId8"/>
                          <a:stretch>
                            <a:fillRect/>
                          </a:stretch>
                        </pic:blipFill>
                        <pic:spPr>
                          <a:xfrm>
                            <a:off x="0" y="0"/>
                            <a:ext cx="2068830" cy="1551305"/>
                          </a:xfrm>
                          <a:prstGeom prst="rect">
                            <a:avLst/>
                          </a:prstGeom>
                          <a:noFill/>
                          <a:ln>
                            <a:noFill/>
                          </a:ln>
                        </pic:spPr>
                      </pic:pic>
                    </a:graphicData>
                  </a:graphic>
                </wp:inline>
              </w:drawing>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drawing>
                <wp:inline distT="0" distB="0" distL="114300" distR="114300">
                  <wp:extent cx="2066290" cy="1550035"/>
                  <wp:effectExtent l="0" t="0" r="10160" b="12065"/>
                  <wp:docPr id="2"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6"/>
                          <pic:cNvPicPr>
                            <a:picLocks noChangeAspect="1"/>
                          </pic:cNvPicPr>
                        </pic:nvPicPr>
                        <pic:blipFill>
                          <a:blip r:embed="rId9"/>
                          <a:stretch>
                            <a:fillRect/>
                          </a:stretch>
                        </pic:blipFill>
                        <pic:spPr>
                          <a:xfrm>
                            <a:off x="0" y="0"/>
                            <a:ext cx="2066290" cy="15500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最后，王老师介绍了实验创新的基本思路，他认为实验创新要传承经典、摒弃固化、发挥想象、创新创造。我们可以将示意图改为模拟图，积极寻找生活替代品，比如可以将矿泉水塑料瓶、注射器、气球等应用到创新实验中，最后变枯燥为生动有趣。王老师介绍了很多优秀教师设计的甚至是获奖的创新实验案例，这其中微粒的性质实验：通过干冰上方的肥皂泡不下沉，干冰上的硬币在“跳舞”让学生直观感受到微粒的存在，微粒是不断运动的；氢氧化钠相关性质实验的趣味性设计等让人眼前一亮，敬佩之情油然而生。</w:t>
            </w:r>
          </w:p>
          <w:p>
            <w:pPr>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2030095" cy="1522730"/>
                  <wp:effectExtent l="0" t="0" r="8255" b="127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0"/>
                          <a:stretch>
                            <a:fillRect/>
                          </a:stretch>
                        </pic:blipFill>
                        <pic:spPr>
                          <a:xfrm>
                            <a:off x="0" y="0"/>
                            <a:ext cx="2030095" cy="1522730"/>
                          </a:xfrm>
                          <a:prstGeom prst="rect">
                            <a:avLst/>
                          </a:prstGeom>
                          <a:noFill/>
                          <a:ln>
                            <a:noFill/>
                          </a:ln>
                        </pic:spPr>
                      </pic:pic>
                    </a:graphicData>
                  </a:graphic>
                </wp:inline>
              </w:drawing>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drawing>
                <wp:inline distT="0" distB="0" distL="114300" distR="114300">
                  <wp:extent cx="2041525" cy="1531620"/>
                  <wp:effectExtent l="0" t="0" r="15875" b="1143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1"/>
                          <a:stretch>
                            <a:fillRect/>
                          </a:stretch>
                        </pic:blipFill>
                        <pic:spPr>
                          <a:xfrm>
                            <a:off x="0" y="0"/>
                            <a:ext cx="2041525" cy="15316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讲座结束后，</w:t>
            </w:r>
            <w:bookmarkStart w:id="0" w:name="_GoBack"/>
            <w:bookmarkEnd w:id="0"/>
            <w:r>
              <w:rPr>
                <w:rFonts w:hint="eastAsia" w:ascii="Times New Roman" w:hAnsi="Times New Roman" w:eastAsia="宋体" w:cs="Times New Roman"/>
                <w:sz w:val="24"/>
                <w:szCs w:val="24"/>
                <w:lang w:val="en-US" w:eastAsia="zh-CN"/>
              </w:rPr>
              <w:t>何亚娟老师进行了总结，她认为王老师提出的纸上得来终觉浅，心中悟出始知深让人颇有感触，我们要在今后的教学中多学、多做、多思。</w:t>
            </w:r>
          </w:p>
          <w:p>
            <w:pPr>
              <w:jc w:val="center"/>
              <w:rPr>
                <w:rFonts w:hint="eastAsia" w:ascii="Calibri" w:hAnsi="Calibri" w:eastAsia="宋体" w:cs="Times New Roman"/>
                <w:kern w:val="0"/>
                <w:szCs w:val="24"/>
              </w:rPr>
            </w:pPr>
          </w:p>
          <w:p>
            <w:pPr>
              <w:rPr>
                <w:rFonts w:ascii="Calibri" w:hAnsi="Calibri" w:eastAsia="宋体" w:cs="Times New Roman"/>
                <w:kern w:val="0"/>
                <w:szCs w:val="24"/>
              </w:rPr>
            </w:pPr>
          </w:p>
          <w:p>
            <w:pPr>
              <w:rPr>
                <w:rFonts w:ascii="Calibri" w:hAnsi="Calibri" w:eastAsia="宋体" w:cs="Times New Roman"/>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right"/>
              <w:rPr>
                <w:rFonts w:hint="eastAsia" w:ascii="Calibri" w:hAnsi="Calibri" w:eastAsia="宋体" w:cs="Times New Roman"/>
                <w:kern w:val="0"/>
                <w:szCs w:val="24"/>
                <w:lang w:val="en-US" w:eastAsia="zh-CN"/>
              </w:rPr>
            </w:pPr>
            <w:r>
              <w:rPr>
                <w:rFonts w:hint="eastAsia" w:ascii="Calibri" w:hAnsi="Calibri" w:eastAsia="宋体" w:cs="Times New Roman"/>
                <w:kern w:val="0"/>
                <w:szCs w:val="24"/>
              </w:rPr>
              <w:t>记录人：</w:t>
            </w:r>
            <w:r>
              <w:rPr>
                <w:rFonts w:hint="eastAsia" w:ascii="Calibri" w:hAnsi="Calibri" w:eastAsia="宋体" w:cs="Times New Roman"/>
                <w:kern w:val="0"/>
                <w:szCs w:val="24"/>
                <w:lang w:val="en-US" w:eastAsia="zh-CN"/>
              </w:rPr>
              <w:t>徐文佳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right"/>
              <w:rPr>
                <w:rFonts w:ascii="Calibri" w:hAnsi="Calibri" w:eastAsia="宋体" w:cs="Times New Roman"/>
                <w:kern w:val="0"/>
                <w:szCs w:val="24"/>
              </w:rPr>
            </w:pPr>
            <w:r>
              <w:rPr>
                <w:rFonts w:hint="eastAsia" w:ascii="Calibri" w:hAnsi="Calibri" w:eastAsia="宋体" w:cs="Times New Roman"/>
                <w:kern w:val="0"/>
                <w:szCs w:val="24"/>
              </w:rPr>
              <w:t>日期：2020年</w:t>
            </w:r>
            <w:r>
              <w:rPr>
                <w:rFonts w:hint="eastAsia" w:ascii="Calibri" w:hAnsi="Calibri" w:eastAsia="宋体" w:cs="Times New Roman"/>
                <w:kern w:val="0"/>
                <w:szCs w:val="24"/>
                <w:lang w:val="en-US" w:eastAsia="zh-CN"/>
              </w:rPr>
              <w:t>10</w:t>
            </w:r>
            <w:r>
              <w:rPr>
                <w:rFonts w:hint="eastAsia" w:ascii="Calibri" w:hAnsi="Calibri" w:eastAsia="宋体" w:cs="Times New Roman"/>
                <w:kern w:val="0"/>
                <w:szCs w:val="24"/>
              </w:rPr>
              <w:t>月</w:t>
            </w:r>
            <w:r>
              <w:rPr>
                <w:rFonts w:hint="eastAsia" w:ascii="Calibri" w:hAnsi="Calibri" w:eastAsia="宋体" w:cs="Times New Roman"/>
                <w:kern w:val="0"/>
                <w:szCs w:val="24"/>
                <w:lang w:val="en-US" w:eastAsia="zh-CN"/>
              </w:rPr>
              <w:t>30</w:t>
            </w:r>
            <w:r>
              <w:rPr>
                <w:rFonts w:hint="eastAsia" w:ascii="Calibri" w:hAnsi="Calibri" w:eastAsia="宋体" w:cs="Times New Roman"/>
                <w:kern w:val="0"/>
                <w:szCs w:val="24"/>
              </w:rPr>
              <w:t>日</w:t>
            </w:r>
          </w:p>
        </w:tc>
      </w:tr>
    </w:tbl>
    <w:p>
      <w:pPr>
        <w:rPr>
          <w:rFonts w:ascii="Calibri" w:hAnsi="Calibri" w:eastAsia="宋体" w:cs="Times New Roman"/>
          <w:szCs w:val="24"/>
        </w:rPr>
      </w:pPr>
    </w:p>
    <w:p>
      <w:pPr>
        <w:rPr>
          <w:rFonts w:ascii="Calibri" w:hAnsi="Calibri" w:eastAsia="宋体" w:cs="Times New Roman"/>
          <w:szCs w:val="24"/>
        </w:rPr>
      </w:pPr>
    </w:p>
    <w:p>
      <w:pPr>
        <w:rPr>
          <w:rFonts w:hint="default" w:ascii="Calibri" w:hAnsi="Calibri" w:eastAsia="宋体" w:cs="Times New Roman"/>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332"/>
    <w:rsid w:val="00024CAC"/>
    <w:rsid w:val="000A2354"/>
    <w:rsid w:val="000F3374"/>
    <w:rsid w:val="001114F6"/>
    <w:rsid w:val="001425DC"/>
    <w:rsid w:val="001E4E91"/>
    <w:rsid w:val="00214A95"/>
    <w:rsid w:val="002536EE"/>
    <w:rsid w:val="003016CD"/>
    <w:rsid w:val="0033638C"/>
    <w:rsid w:val="003448BE"/>
    <w:rsid w:val="00377934"/>
    <w:rsid w:val="003F2515"/>
    <w:rsid w:val="004027A3"/>
    <w:rsid w:val="00470AA7"/>
    <w:rsid w:val="004A346D"/>
    <w:rsid w:val="004B1A30"/>
    <w:rsid w:val="004B243A"/>
    <w:rsid w:val="00523BDA"/>
    <w:rsid w:val="005A6DA2"/>
    <w:rsid w:val="005B44BF"/>
    <w:rsid w:val="0065568C"/>
    <w:rsid w:val="006B0150"/>
    <w:rsid w:val="006B2394"/>
    <w:rsid w:val="006C0CCC"/>
    <w:rsid w:val="00703A1A"/>
    <w:rsid w:val="00755CB7"/>
    <w:rsid w:val="0076116C"/>
    <w:rsid w:val="007B4F10"/>
    <w:rsid w:val="0084698F"/>
    <w:rsid w:val="008708CD"/>
    <w:rsid w:val="008C2ABB"/>
    <w:rsid w:val="008E678B"/>
    <w:rsid w:val="00900CAF"/>
    <w:rsid w:val="0092404D"/>
    <w:rsid w:val="00952FA2"/>
    <w:rsid w:val="0097656B"/>
    <w:rsid w:val="00977499"/>
    <w:rsid w:val="009A6122"/>
    <w:rsid w:val="009C12B2"/>
    <w:rsid w:val="009D2C92"/>
    <w:rsid w:val="00A86B63"/>
    <w:rsid w:val="00AF1332"/>
    <w:rsid w:val="00B06186"/>
    <w:rsid w:val="00B33371"/>
    <w:rsid w:val="00C81D45"/>
    <w:rsid w:val="00C9324D"/>
    <w:rsid w:val="00CA21D6"/>
    <w:rsid w:val="00CC5138"/>
    <w:rsid w:val="00D05BE7"/>
    <w:rsid w:val="00D860A5"/>
    <w:rsid w:val="00E04816"/>
    <w:rsid w:val="00E32157"/>
    <w:rsid w:val="00E52FCA"/>
    <w:rsid w:val="00E77325"/>
    <w:rsid w:val="00EA2FDA"/>
    <w:rsid w:val="00F01203"/>
    <w:rsid w:val="00F37AEB"/>
    <w:rsid w:val="00F4762B"/>
    <w:rsid w:val="00F62717"/>
    <w:rsid w:val="00F6472F"/>
    <w:rsid w:val="00F83374"/>
    <w:rsid w:val="00FF45F3"/>
    <w:rsid w:val="0AD367D8"/>
    <w:rsid w:val="0F9D693C"/>
    <w:rsid w:val="2B3B751C"/>
    <w:rsid w:val="4439093B"/>
    <w:rsid w:val="45352760"/>
    <w:rsid w:val="460400DC"/>
    <w:rsid w:val="48AB2C3E"/>
    <w:rsid w:val="4EE80DDE"/>
    <w:rsid w:val="5DC302B2"/>
    <w:rsid w:val="61FA5D2D"/>
    <w:rsid w:val="68E940B9"/>
    <w:rsid w:val="78380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customStyle="1" w:styleId="10">
    <w:name w:val="页眉 字符"/>
    <w:basedOn w:val="8"/>
    <w:link w:val="4"/>
    <w:qFormat/>
    <w:uiPriority w:val="99"/>
    <w:rPr>
      <w:sz w:val="18"/>
      <w:szCs w:val="18"/>
    </w:rPr>
  </w:style>
  <w:style w:type="character" w:customStyle="1" w:styleId="11">
    <w:name w:val="页脚 字符"/>
    <w:basedOn w:val="8"/>
    <w:link w:val="3"/>
    <w:qFormat/>
    <w:uiPriority w:val="99"/>
    <w:rPr>
      <w:sz w:val="18"/>
      <w:szCs w:val="18"/>
    </w:rPr>
  </w:style>
  <w:style w:type="character" w:customStyle="1" w:styleId="12">
    <w:name w:val="批注框文本 字符"/>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91</Words>
  <Characters>520</Characters>
  <Lines>4</Lines>
  <Paragraphs>1</Paragraphs>
  <TotalTime>1</TotalTime>
  <ScaleCrop>false</ScaleCrop>
  <LinksUpToDate>false</LinksUpToDate>
  <CharactersWithSpaces>610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2020-10-07T05:46:00Z</dcterms:created>
  <dc:creator>treasurewu</dc:creator>
  <cp:lastModifiedBy>文小佳</cp:lastModifiedBy>
  <dcterms:modified xsi:type="dcterms:W3CDTF">2020-11-01T06:29:24Z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