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08C0B" w14:textId="77777777" w:rsidR="00855272" w:rsidRDefault="0068503E" w:rsidP="00DB63A3">
      <w:pPr>
        <w:pStyle w:val="a3"/>
        <w:widowControl/>
        <w:shd w:val="clear" w:color="auto" w:fill="FFFFFF"/>
        <w:spacing w:beforeAutospacing="0" w:afterAutospacing="0"/>
        <w:jc w:val="center"/>
        <w:textAlignment w:val="top"/>
        <w:rPr>
          <w:rFonts w:ascii="宋体" w:eastAsia="宋体" w:hAnsi="宋体" w:cs="宋体"/>
          <w:color w:val="333333"/>
          <w:sz w:val="21"/>
          <w:szCs w:val="21"/>
        </w:rPr>
      </w:pPr>
      <w:r>
        <w:rPr>
          <w:rStyle w:val="a4"/>
          <w:rFonts w:ascii="宋体" w:eastAsia="宋体" w:hAnsi="宋体" w:cs="宋体" w:hint="eastAsia"/>
          <w:color w:val="333333"/>
          <w:sz w:val="28"/>
          <w:szCs w:val="28"/>
          <w:shd w:val="clear" w:color="auto" w:fill="FFFFFF"/>
        </w:rPr>
        <w:t>“基于语文要素的“1+X”阅读教学的课例研究”</w:t>
      </w:r>
    </w:p>
    <w:p w14:paraId="1C994E93" w14:textId="77777777" w:rsidR="00855272" w:rsidRDefault="0068503E" w:rsidP="00DB63A3">
      <w:pPr>
        <w:pStyle w:val="a3"/>
        <w:widowControl/>
        <w:shd w:val="clear" w:color="auto" w:fill="FFFFFF"/>
        <w:spacing w:beforeAutospacing="0" w:afterAutospacing="0"/>
        <w:jc w:val="center"/>
        <w:textAlignment w:val="top"/>
        <w:rPr>
          <w:rFonts w:ascii="宋体" w:eastAsia="宋体" w:hAnsi="宋体" w:cs="宋体"/>
          <w:color w:val="333333"/>
          <w:sz w:val="21"/>
          <w:szCs w:val="21"/>
        </w:rPr>
      </w:pPr>
      <w:r>
        <w:rPr>
          <w:rStyle w:val="a4"/>
          <w:rFonts w:ascii="宋体" w:eastAsia="宋体" w:hAnsi="宋体" w:cs="宋体" w:hint="eastAsia"/>
          <w:color w:val="333333"/>
          <w:sz w:val="28"/>
          <w:szCs w:val="28"/>
          <w:shd w:val="clear" w:color="auto" w:fill="FFFFFF"/>
        </w:rPr>
        <w:t>课题研究理论学习记载表</w:t>
      </w:r>
    </w:p>
    <w:tbl>
      <w:tblPr>
        <w:tblW w:w="0" w:type="auto"/>
        <w:tblCellSpacing w:w="15" w:type="dxa"/>
        <w:tblInd w:w="30" w:type="dxa"/>
        <w:shd w:val="clear" w:color="auto" w:fill="FFFFFF"/>
        <w:tblCellMar>
          <w:left w:w="0" w:type="dxa"/>
          <w:right w:w="0" w:type="dxa"/>
        </w:tblCellMar>
        <w:tblLook w:val="04A0" w:firstRow="1" w:lastRow="0" w:firstColumn="1" w:lastColumn="0" w:noHBand="0" w:noVBand="1"/>
      </w:tblPr>
      <w:tblGrid>
        <w:gridCol w:w="1063"/>
        <w:gridCol w:w="3685"/>
        <w:gridCol w:w="1581"/>
        <w:gridCol w:w="1917"/>
      </w:tblGrid>
      <w:tr w:rsidR="00855272" w14:paraId="2989BF8E" w14:textId="77777777">
        <w:trPr>
          <w:tblCellSpacing w:w="15" w:type="dxa"/>
        </w:trPr>
        <w:tc>
          <w:tcPr>
            <w:tcW w:w="1125" w:type="dxa"/>
            <w:vMerge w:val="restart"/>
            <w:tcBorders>
              <w:top w:val="single" w:sz="12" w:space="0" w:color="auto"/>
              <w:left w:val="single" w:sz="12" w:space="0" w:color="auto"/>
              <w:bottom w:val="single" w:sz="12" w:space="0" w:color="auto"/>
              <w:right w:val="single" w:sz="12" w:space="0" w:color="auto"/>
            </w:tcBorders>
            <w:shd w:val="clear" w:color="auto" w:fill="FFFFFF"/>
            <w:tcMar>
              <w:left w:w="105" w:type="dxa"/>
              <w:right w:w="105" w:type="dxa"/>
            </w:tcMar>
            <w:vAlign w:val="center"/>
          </w:tcPr>
          <w:p w14:paraId="4068294E" w14:textId="77777777" w:rsidR="00855272" w:rsidRDefault="0068503E" w:rsidP="00DB63A3">
            <w:pPr>
              <w:pStyle w:val="a3"/>
              <w:widowControl/>
              <w:spacing w:beforeAutospacing="0" w:afterAutospacing="0"/>
              <w:jc w:val="center"/>
              <w:textAlignment w:val="top"/>
            </w:pPr>
            <w:r>
              <w:rPr>
                <w:rStyle w:val="a4"/>
                <w:rFonts w:ascii="宋体" w:eastAsia="宋体" w:hAnsi="宋体" w:cs="宋体" w:hint="eastAsia"/>
                <w:color w:val="333333"/>
                <w:sz w:val="21"/>
                <w:szCs w:val="21"/>
              </w:rPr>
              <w:t>学习主题</w:t>
            </w:r>
          </w:p>
        </w:tc>
        <w:tc>
          <w:tcPr>
            <w:tcW w:w="4200" w:type="dxa"/>
            <w:vMerge w:val="restart"/>
            <w:tcBorders>
              <w:top w:val="single" w:sz="12" w:space="0" w:color="auto"/>
              <w:left w:val="nil"/>
              <w:bottom w:val="single" w:sz="12" w:space="0" w:color="auto"/>
              <w:right w:val="single" w:sz="12" w:space="0" w:color="auto"/>
            </w:tcBorders>
            <w:shd w:val="clear" w:color="auto" w:fill="FFFFFF"/>
            <w:tcMar>
              <w:left w:w="105" w:type="dxa"/>
              <w:right w:w="105" w:type="dxa"/>
            </w:tcMar>
            <w:vAlign w:val="center"/>
          </w:tcPr>
          <w:p w14:paraId="77056F3F" w14:textId="41BFD16C" w:rsidR="00855272" w:rsidRDefault="002433A2" w:rsidP="00DB63A3">
            <w:pPr>
              <w:pStyle w:val="1"/>
              <w:widowControl/>
              <w:shd w:val="clear" w:color="auto" w:fill="FFFFFF"/>
              <w:spacing w:beforeAutospacing="0" w:afterAutospacing="0"/>
              <w:textAlignment w:val="baseline"/>
              <w:rPr>
                <w:rFonts w:hint="default"/>
              </w:rPr>
            </w:pPr>
            <w:r w:rsidRPr="002433A2">
              <w:rPr>
                <w:color w:val="494949"/>
                <w:sz w:val="19"/>
                <w:szCs w:val="19"/>
                <w:shd w:val="clear" w:color="auto" w:fill="FFFFFF"/>
              </w:rPr>
              <w:t>“1+X”群文阅读实施策略的探析</w:t>
            </w:r>
          </w:p>
        </w:tc>
        <w:tc>
          <w:tcPr>
            <w:tcW w:w="1560" w:type="dxa"/>
            <w:tcBorders>
              <w:top w:val="single" w:sz="12" w:space="0" w:color="auto"/>
              <w:left w:val="nil"/>
              <w:bottom w:val="single" w:sz="12" w:space="0" w:color="auto"/>
              <w:right w:val="single" w:sz="12" w:space="0" w:color="auto"/>
            </w:tcBorders>
            <w:shd w:val="clear" w:color="auto" w:fill="FFFFFF"/>
            <w:tcMar>
              <w:left w:w="105" w:type="dxa"/>
              <w:right w:w="105" w:type="dxa"/>
            </w:tcMar>
            <w:vAlign w:val="center"/>
          </w:tcPr>
          <w:p w14:paraId="2689C2E4" w14:textId="77777777" w:rsidR="00855272" w:rsidRDefault="0068503E" w:rsidP="00DB63A3">
            <w:pPr>
              <w:pStyle w:val="a3"/>
              <w:widowControl/>
              <w:spacing w:beforeAutospacing="0" w:afterAutospacing="0"/>
              <w:jc w:val="center"/>
              <w:textAlignment w:val="top"/>
            </w:pPr>
            <w:r>
              <w:rPr>
                <w:rStyle w:val="a4"/>
                <w:rFonts w:ascii="宋体" w:eastAsia="宋体" w:hAnsi="宋体" w:cs="宋体" w:hint="eastAsia"/>
                <w:color w:val="333333"/>
                <w:sz w:val="21"/>
                <w:szCs w:val="21"/>
              </w:rPr>
              <w:t>姓    名</w:t>
            </w:r>
          </w:p>
        </w:tc>
        <w:tc>
          <w:tcPr>
            <w:tcW w:w="2070" w:type="dxa"/>
            <w:tcBorders>
              <w:top w:val="single" w:sz="12" w:space="0" w:color="auto"/>
              <w:left w:val="nil"/>
              <w:bottom w:val="single" w:sz="12" w:space="0" w:color="auto"/>
              <w:right w:val="single" w:sz="12" w:space="0" w:color="auto"/>
            </w:tcBorders>
            <w:shd w:val="clear" w:color="auto" w:fill="FFFFFF"/>
            <w:tcMar>
              <w:left w:w="105" w:type="dxa"/>
              <w:right w:w="105" w:type="dxa"/>
            </w:tcMar>
            <w:vAlign w:val="center"/>
          </w:tcPr>
          <w:p w14:paraId="0E067A2D" w14:textId="479A118B" w:rsidR="00855272" w:rsidRDefault="00911545" w:rsidP="00DB63A3">
            <w:pPr>
              <w:pStyle w:val="a3"/>
              <w:widowControl/>
              <w:spacing w:beforeAutospacing="0" w:afterAutospacing="0"/>
              <w:jc w:val="center"/>
              <w:textAlignment w:val="top"/>
            </w:pPr>
            <w:r>
              <w:rPr>
                <w:rFonts w:ascii="宋体" w:eastAsia="宋体" w:hAnsi="宋体" w:cs="宋体" w:hint="eastAsia"/>
                <w:color w:val="333333"/>
                <w:sz w:val="21"/>
                <w:szCs w:val="21"/>
              </w:rPr>
              <w:t>张瑜</w:t>
            </w:r>
          </w:p>
        </w:tc>
      </w:tr>
      <w:tr w:rsidR="00855272" w14:paraId="0B5A4DAE" w14:textId="77777777">
        <w:trPr>
          <w:trHeight w:val="312"/>
          <w:tblCellSpacing w:w="15" w:type="dxa"/>
        </w:trPr>
        <w:tc>
          <w:tcPr>
            <w:tcW w:w="1125" w:type="dxa"/>
            <w:vMerge/>
            <w:tcBorders>
              <w:top w:val="single" w:sz="12" w:space="0" w:color="auto"/>
              <w:left w:val="single" w:sz="12" w:space="0" w:color="auto"/>
              <w:bottom w:val="single" w:sz="12" w:space="0" w:color="auto"/>
              <w:right w:val="single" w:sz="12" w:space="0" w:color="auto"/>
            </w:tcBorders>
            <w:shd w:val="clear" w:color="auto" w:fill="FFFFFF"/>
            <w:tcMar>
              <w:left w:w="105" w:type="dxa"/>
              <w:right w:w="105" w:type="dxa"/>
            </w:tcMar>
            <w:vAlign w:val="center"/>
          </w:tcPr>
          <w:p w14:paraId="24866EB3" w14:textId="77777777" w:rsidR="00855272" w:rsidRDefault="00855272" w:rsidP="00DB63A3">
            <w:pPr>
              <w:rPr>
                <w:rFonts w:ascii="宋体" w:eastAsia="宋体" w:hAnsi="宋体" w:cs="宋体"/>
                <w:color w:val="333333"/>
                <w:szCs w:val="21"/>
              </w:rPr>
            </w:pPr>
          </w:p>
        </w:tc>
        <w:tc>
          <w:tcPr>
            <w:tcW w:w="4200" w:type="dxa"/>
            <w:vMerge/>
            <w:tcBorders>
              <w:top w:val="single" w:sz="12" w:space="0" w:color="auto"/>
              <w:left w:val="nil"/>
              <w:bottom w:val="single" w:sz="12" w:space="0" w:color="auto"/>
              <w:right w:val="single" w:sz="12" w:space="0" w:color="auto"/>
            </w:tcBorders>
            <w:shd w:val="clear" w:color="auto" w:fill="FFFFFF"/>
            <w:tcMar>
              <w:left w:w="105" w:type="dxa"/>
              <w:right w:w="105" w:type="dxa"/>
            </w:tcMar>
            <w:vAlign w:val="center"/>
          </w:tcPr>
          <w:p w14:paraId="545180C6" w14:textId="77777777" w:rsidR="00855272" w:rsidRDefault="00855272" w:rsidP="00DB63A3">
            <w:pPr>
              <w:rPr>
                <w:rFonts w:ascii="宋体" w:eastAsia="宋体" w:hAnsi="宋体" w:cs="宋体"/>
                <w:color w:val="333333"/>
                <w:szCs w:val="21"/>
              </w:rPr>
            </w:pPr>
          </w:p>
        </w:tc>
        <w:tc>
          <w:tcPr>
            <w:tcW w:w="1560" w:type="dxa"/>
            <w:tcBorders>
              <w:top w:val="nil"/>
              <w:left w:val="nil"/>
              <w:bottom w:val="single" w:sz="12" w:space="0" w:color="auto"/>
              <w:right w:val="single" w:sz="12" w:space="0" w:color="auto"/>
            </w:tcBorders>
            <w:shd w:val="clear" w:color="auto" w:fill="FFFFFF"/>
            <w:tcMar>
              <w:left w:w="105" w:type="dxa"/>
              <w:right w:w="105" w:type="dxa"/>
            </w:tcMar>
            <w:vAlign w:val="center"/>
          </w:tcPr>
          <w:p w14:paraId="55C60B2A" w14:textId="77777777" w:rsidR="00855272" w:rsidRDefault="0068503E" w:rsidP="00DB63A3">
            <w:pPr>
              <w:pStyle w:val="a3"/>
              <w:widowControl/>
              <w:spacing w:beforeAutospacing="0" w:afterAutospacing="0"/>
              <w:jc w:val="center"/>
              <w:textAlignment w:val="top"/>
            </w:pPr>
            <w:r>
              <w:rPr>
                <w:rStyle w:val="a4"/>
                <w:rFonts w:ascii="宋体" w:eastAsia="宋体" w:hAnsi="宋体" w:cs="宋体" w:hint="eastAsia"/>
                <w:color w:val="333333"/>
                <w:sz w:val="21"/>
                <w:szCs w:val="21"/>
              </w:rPr>
              <w:t>学习时间</w:t>
            </w:r>
          </w:p>
        </w:tc>
        <w:tc>
          <w:tcPr>
            <w:tcW w:w="2070" w:type="dxa"/>
            <w:tcBorders>
              <w:top w:val="nil"/>
              <w:left w:val="nil"/>
              <w:bottom w:val="single" w:sz="12" w:space="0" w:color="auto"/>
              <w:right w:val="single" w:sz="12" w:space="0" w:color="auto"/>
            </w:tcBorders>
            <w:shd w:val="clear" w:color="auto" w:fill="FFFFFF"/>
            <w:tcMar>
              <w:left w:w="105" w:type="dxa"/>
              <w:right w:w="105" w:type="dxa"/>
            </w:tcMar>
            <w:vAlign w:val="center"/>
          </w:tcPr>
          <w:p w14:paraId="29A71EEE" w14:textId="5B656329" w:rsidR="00855272" w:rsidRDefault="0068503E" w:rsidP="00DB63A3">
            <w:pPr>
              <w:pStyle w:val="a3"/>
              <w:widowControl/>
              <w:spacing w:beforeAutospacing="0" w:afterAutospacing="0"/>
              <w:textAlignment w:val="top"/>
              <w:rPr>
                <w:rFonts w:eastAsia="宋体"/>
              </w:rPr>
            </w:pPr>
            <w:r>
              <w:rPr>
                <w:rStyle w:val="a4"/>
                <w:rFonts w:ascii="宋体" w:eastAsia="宋体" w:hAnsi="宋体" w:cs="宋体" w:hint="eastAsia"/>
                <w:color w:val="333333"/>
                <w:sz w:val="21"/>
                <w:szCs w:val="21"/>
              </w:rPr>
              <w:t>2020.</w:t>
            </w:r>
            <w:r w:rsidR="002433A2">
              <w:rPr>
                <w:rStyle w:val="a4"/>
                <w:rFonts w:ascii="宋体" w:eastAsia="宋体" w:hAnsi="宋体" w:cs="宋体"/>
                <w:color w:val="333333"/>
                <w:sz w:val="21"/>
                <w:szCs w:val="21"/>
              </w:rPr>
              <w:t>7</w:t>
            </w:r>
          </w:p>
        </w:tc>
      </w:tr>
      <w:tr w:rsidR="00855272" w14:paraId="7F94C9A5" w14:textId="77777777">
        <w:trPr>
          <w:tblCellSpacing w:w="15" w:type="dxa"/>
        </w:trPr>
        <w:tc>
          <w:tcPr>
            <w:tcW w:w="1125" w:type="dxa"/>
            <w:tcBorders>
              <w:top w:val="nil"/>
              <w:left w:val="single" w:sz="12" w:space="0" w:color="auto"/>
              <w:bottom w:val="single" w:sz="12" w:space="0" w:color="auto"/>
              <w:right w:val="single" w:sz="12" w:space="0" w:color="auto"/>
            </w:tcBorders>
            <w:shd w:val="clear" w:color="auto" w:fill="FFFFFF"/>
            <w:tcMar>
              <w:left w:w="105" w:type="dxa"/>
              <w:right w:w="105" w:type="dxa"/>
            </w:tcMar>
            <w:vAlign w:val="center"/>
          </w:tcPr>
          <w:p w14:paraId="2262CF0D" w14:textId="77777777" w:rsidR="00855272" w:rsidRDefault="0068503E" w:rsidP="00DB63A3">
            <w:pPr>
              <w:pStyle w:val="a3"/>
              <w:widowControl/>
              <w:spacing w:beforeAutospacing="0" w:afterAutospacing="0"/>
              <w:jc w:val="center"/>
              <w:textAlignment w:val="top"/>
            </w:pPr>
            <w:r>
              <w:rPr>
                <w:rStyle w:val="a4"/>
                <w:rFonts w:ascii="宋体" w:eastAsia="宋体" w:hAnsi="宋体" w:cs="宋体" w:hint="eastAsia"/>
                <w:color w:val="333333"/>
                <w:sz w:val="21"/>
                <w:szCs w:val="21"/>
              </w:rPr>
              <w:t>内容摘要</w:t>
            </w:r>
          </w:p>
        </w:tc>
        <w:tc>
          <w:tcPr>
            <w:tcW w:w="7890" w:type="dxa"/>
            <w:gridSpan w:val="3"/>
            <w:tcBorders>
              <w:top w:val="nil"/>
              <w:left w:val="nil"/>
              <w:bottom w:val="single" w:sz="12" w:space="0" w:color="auto"/>
              <w:right w:val="single" w:sz="12" w:space="0" w:color="auto"/>
            </w:tcBorders>
            <w:shd w:val="clear" w:color="auto" w:fill="FFFFFF"/>
            <w:tcMar>
              <w:left w:w="105" w:type="dxa"/>
              <w:right w:w="105" w:type="dxa"/>
            </w:tcMar>
            <w:vAlign w:val="center"/>
          </w:tcPr>
          <w:p w14:paraId="4402EF3A" w14:textId="77777777" w:rsidR="002433A2" w:rsidRDefault="002433A2" w:rsidP="00DB63A3">
            <w:pPr>
              <w:pStyle w:val="1"/>
              <w:widowControl/>
              <w:shd w:val="clear" w:color="auto" w:fill="FFFFFF"/>
              <w:spacing w:beforeAutospacing="0" w:afterAutospacing="0"/>
              <w:textAlignment w:val="baseline"/>
              <w:rPr>
                <w:rFonts w:hint="default"/>
                <w:b w:val="0"/>
                <w:bCs/>
                <w:sz w:val="21"/>
                <w:szCs w:val="21"/>
              </w:rPr>
            </w:pPr>
            <w:r w:rsidRPr="002433A2">
              <w:rPr>
                <w:b w:val="0"/>
                <w:bCs/>
                <w:sz w:val="21"/>
                <w:szCs w:val="21"/>
              </w:rPr>
              <w:t xml:space="preserve">一、“1+X”是基于教材内容的补充 </w:t>
            </w:r>
          </w:p>
          <w:p w14:paraId="0844EE0B" w14:textId="0635F5C0" w:rsidR="00855272" w:rsidRDefault="002433A2" w:rsidP="00DB63A3">
            <w:pPr>
              <w:pStyle w:val="1"/>
              <w:widowControl/>
              <w:shd w:val="clear" w:color="auto" w:fill="FFFFFF"/>
              <w:spacing w:beforeAutospacing="0" w:afterAutospacing="0"/>
              <w:textAlignment w:val="baseline"/>
              <w:rPr>
                <w:rFonts w:hint="default"/>
                <w:b w:val="0"/>
                <w:bCs/>
                <w:sz w:val="21"/>
                <w:szCs w:val="21"/>
              </w:rPr>
            </w:pPr>
            <w:r w:rsidRPr="002433A2">
              <w:rPr>
                <w:b w:val="0"/>
                <w:bCs/>
                <w:sz w:val="21"/>
                <w:szCs w:val="21"/>
              </w:rPr>
              <w:t>早期阅读教学过多的凸显语文教材的战略地位，课外阅读 绝缘于语文课堂教学，始终处于一种无系统、无组织的零散碎片状态。统编教材把课外阅读纳入课内教学，以此来实现更广阔的阅读，更充分的实践，以便达到“举一反三”的目的。统编教 材每个单元都有着不同的主题思想，属于一个“单元型”群文阅 读。小学生在课堂期间对课内统一教材的基本内容和知识有着一定程度的掌握后，教师根据课堂内的教学内容选取和单元内容具有一定相关性的阅读文本，不仅可以加深学生对所学知识的记忆力，还可提升学生的阅读能力和理解能力。例如，在执教《带刺的朋友》一时，当孩子通过阅读体验感受到“刺猬偷枣 的本事可真高明啊！”时，为了丰富学生对这位带刺的朋友的认识，我选取了作者宗介华这本散文中刺猬冬眠、击退黑狗等故事，通过对同一人物不同事件的材料巧妙组合，让学生在阅读中不仅丰富了对刺猬的认识，感受到了大自然赐予我们的珍贵</w:t>
            </w:r>
            <w:r w:rsidR="007720B5">
              <w:rPr>
                <w:b w:val="0"/>
                <w:bCs/>
                <w:sz w:val="21"/>
                <w:szCs w:val="21"/>
              </w:rPr>
              <w:t>礼</w:t>
            </w:r>
            <w:r w:rsidRPr="002433A2">
              <w:rPr>
                <w:b w:val="0"/>
                <w:bCs/>
                <w:sz w:val="21"/>
                <w:szCs w:val="21"/>
              </w:rPr>
              <w:t>物，还认识到了通过具体事例表现人物的写作方法。</w:t>
            </w:r>
          </w:p>
          <w:p w14:paraId="3D6F9C99" w14:textId="77777777" w:rsidR="002433A2" w:rsidRDefault="002433A2" w:rsidP="002433A2">
            <w:r w:rsidRPr="002433A2">
              <w:rPr>
                <w:rFonts w:hint="eastAsia"/>
              </w:rPr>
              <w:t>二、“</w:t>
            </w:r>
            <w:r w:rsidRPr="002433A2">
              <w:rPr>
                <w:rFonts w:hint="eastAsia"/>
              </w:rPr>
              <w:t>1+X</w:t>
            </w:r>
            <w:r w:rsidRPr="002433A2">
              <w:rPr>
                <w:rFonts w:hint="eastAsia"/>
              </w:rPr>
              <w:t>”是基于教学难点的思考</w:t>
            </w:r>
            <w:r w:rsidRPr="002433A2">
              <w:rPr>
                <w:rFonts w:hint="eastAsia"/>
              </w:rPr>
              <w:t xml:space="preserve"> </w:t>
            </w:r>
          </w:p>
          <w:p w14:paraId="46C62EB0" w14:textId="66E94001" w:rsidR="002433A2" w:rsidRDefault="002433A2" w:rsidP="002433A2">
            <w:r w:rsidRPr="002433A2">
              <w:rPr>
                <w:rFonts w:hint="eastAsia"/>
              </w:rPr>
              <w:t>我们在实施教学过程中经常发现有些学生不易理解的知</w:t>
            </w:r>
            <w:r w:rsidRPr="002433A2">
              <w:rPr>
                <w:rFonts w:hint="eastAsia"/>
              </w:rPr>
              <w:t xml:space="preserve"> </w:t>
            </w:r>
            <w:r w:rsidRPr="002433A2">
              <w:rPr>
                <w:rFonts w:hint="eastAsia"/>
              </w:rPr>
              <w:t>识，或不易掌握的技能技巧，这就需要教者在课堂上将教学内容和课外拓展有机结合，让教学的选择更有针对性。例如，统编</w:t>
            </w:r>
            <w:r w:rsidRPr="002433A2">
              <w:rPr>
                <w:rFonts w:hint="eastAsia"/>
              </w:rPr>
              <w:t xml:space="preserve"> </w:t>
            </w:r>
            <w:r w:rsidRPr="002433A2">
              <w:rPr>
                <w:rFonts w:hint="eastAsia"/>
              </w:rPr>
              <w:t>版三年级上册第四单元为阅读策略单元，教材编排了《总</w:t>
            </w:r>
            <w:r>
              <w:rPr>
                <w:rFonts w:hint="eastAsia"/>
              </w:rPr>
              <w:t>也</w:t>
            </w:r>
            <w:r w:rsidRPr="002433A2">
              <w:rPr>
                <w:rFonts w:hint="eastAsia"/>
              </w:rPr>
              <w:t>倒</w:t>
            </w:r>
            <w:r>
              <w:rPr>
                <w:rFonts w:hint="eastAsia"/>
              </w:rPr>
              <w:t>不了</w:t>
            </w:r>
            <w:r w:rsidRPr="002433A2">
              <w:rPr>
                <w:rFonts w:hint="eastAsia"/>
              </w:rPr>
              <w:t>的老屋》、《胡萝卜先生的长胡子》、《不会叫的狗》三篇寓意深刻、富有童趣的故事。</w:t>
            </w:r>
          </w:p>
          <w:p w14:paraId="78218B48" w14:textId="77777777" w:rsidR="00357E5E" w:rsidRDefault="00BD0AA9" w:rsidP="002433A2">
            <w:r w:rsidRPr="00BD0AA9">
              <w:rPr>
                <w:rFonts w:hint="eastAsia"/>
              </w:rPr>
              <w:t>三、“</w:t>
            </w:r>
            <w:r w:rsidRPr="00BD0AA9">
              <w:rPr>
                <w:rFonts w:hint="eastAsia"/>
              </w:rPr>
              <w:t>1+X</w:t>
            </w:r>
            <w:r w:rsidRPr="00BD0AA9">
              <w:rPr>
                <w:rFonts w:hint="eastAsia"/>
              </w:rPr>
              <w:t>”是基于学生兴趣的需求</w:t>
            </w:r>
            <w:r w:rsidRPr="00BD0AA9">
              <w:rPr>
                <w:rFonts w:hint="eastAsia"/>
              </w:rPr>
              <w:t xml:space="preserve"> </w:t>
            </w:r>
          </w:p>
          <w:p w14:paraId="43ADDA19" w14:textId="3A1CA638" w:rsidR="002433A2" w:rsidRPr="002433A2" w:rsidRDefault="00BD0AA9" w:rsidP="002433A2">
            <w:pPr>
              <w:rPr>
                <w:rFonts w:hint="eastAsia"/>
              </w:rPr>
            </w:pPr>
            <w:r w:rsidRPr="00BD0AA9">
              <w:rPr>
                <w:rFonts w:hint="eastAsia"/>
              </w:rPr>
              <w:t>“</w:t>
            </w:r>
            <w:r w:rsidRPr="00BD0AA9">
              <w:rPr>
                <w:rFonts w:hint="eastAsia"/>
              </w:rPr>
              <w:t>1+X</w:t>
            </w:r>
            <w:r w:rsidRPr="00BD0AA9">
              <w:rPr>
                <w:rFonts w:hint="eastAsia"/>
              </w:rPr>
              <w:t>”群文阅读组文的服务对象是学生，选择上首先要考虑的是儿童的年龄特点和身心发展规律，关注他们已有的知识经验和生活经验，保护他们的阅读兴趣。在选文形式的展现，篇幅的长度、内容的深度上都要符合学生的年龄特征，考虑到他们的认知水平和兴趣爱好。</w:t>
            </w:r>
          </w:p>
        </w:tc>
      </w:tr>
      <w:tr w:rsidR="00855272" w14:paraId="2B131EA2" w14:textId="77777777" w:rsidTr="00DB63A3">
        <w:trPr>
          <w:trHeight w:val="1798"/>
          <w:tblCellSpacing w:w="15" w:type="dxa"/>
        </w:trPr>
        <w:tc>
          <w:tcPr>
            <w:tcW w:w="1125" w:type="dxa"/>
            <w:tcBorders>
              <w:top w:val="nil"/>
              <w:left w:val="single" w:sz="12" w:space="0" w:color="auto"/>
              <w:bottom w:val="single" w:sz="12" w:space="0" w:color="auto"/>
              <w:right w:val="single" w:sz="12" w:space="0" w:color="auto"/>
            </w:tcBorders>
            <w:shd w:val="clear" w:color="auto" w:fill="FFFFFF"/>
            <w:tcMar>
              <w:left w:w="105" w:type="dxa"/>
              <w:right w:w="105" w:type="dxa"/>
            </w:tcMar>
            <w:vAlign w:val="center"/>
          </w:tcPr>
          <w:p w14:paraId="0A08B39C" w14:textId="77777777" w:rsidR="00855272" w:rsidRDefault="0068503E" w:rsidP="00DB63A3">
            <w:pPr>
              <w:pStyle w:val="a3"/>
              <w:widowControl/>
              <w:spacing w:beforeAutospacing="0" w:afterAutospacing="0"/>
              <w:jc w:val="center"/>
              <w:textAlignment w:val="top"/>
            </w:pPr>
            <w:r>
              <w:rPr>
                <w:rStyle w:val="a4"/>
                <w:rFonts w:ascii="宋体" w:eastAsia="宋体" w:hAnsi="宋体" w:cs="宋体" w:hint="eastAsia"/>
                <w:color w:val="333333"/>
                <w:sz w:val="21"/>
                <w:szCs w:val="21"/>
              </w:rPr>
              <w:t>心得体会</w:t>
            </w:r>
          </w:p>
        </w:tc>
        <w:tc>
          <w:tcPr>
            <w:tcW w:w="7890" w:type="dxa"/>
            <w:gridSpan w:val="3"/>
            <w:tcBorders>
              <w:top w:val="nil"/>
              <w:left w:val="nil"/>
              <w:bottom w:val="single" w:sz="12" w:space="0" w:color="auto"/>
              <w:right w:val="single" w:sz="12" w:space="0" w:color="auto"/>
            </w:tcBorders>
            <w:shd w:val="clear" w:color="auto" w:fill="FFFFFF"/>
            <w:tcMar>
              <w:left w:w="105" w:type="dxa"/>
              <w:right w:w="105" w:type="dxa"/>
            </w:tcMar>
            <w:vAlign w:val="center"/>
          </w:tcPr>
          <w:p w14:paraId="0ADF141C" w14:textId="787E0DC5" w:rsidR="00855272" w:rsidRPr="00DB63A3" w:rsidRDefault="0054157A" w:rsidP="00DB63A3">
            <w:pPr>
              <w:pStyle w:val="1"/>
              <w:widowControl/>
              <w:shd w:val="clear" w:color="auto" w:fill="FFFFFF"/>
              <w:textAlignment w:val="baseline"/>
              <w:rPr>
                <w:rFonts w:cs="宋体" w:hint="default"/>
                <w:b w:val="0"/>
                <w:bCs/>
                <w:sz w:val="21"/>
                <w:szCs w:val="21"/>
              </w:rPr>
            </w:pPr>
            <w:r w:rsidRPr="0054157A">
              <w:rPr>
                <w:rFonts w:cs="宋体"/>
                <w:b w:val="0"/>
                <w:bCs/>
                <w:sz w:val="21"/>
                <w:szCs w:val="21"/>
              </w:rPr>
              <w:t>小学生群文阅读“组文”的方法和策略实施起来虽存在一定难度，但只要教师学会对材料的取舍、统整、比较、联结，使组文材料与课标、与教材、与学生的认知水平、兴趣爱好、社会生活等联系起来，就能引导孩子通过群文阅读学习语文，认知世界。</w:t>
            </w:r>
          </w:p>
        </w:tc>
      </w:tr>
    </w:tbl>
    <w:p w14:paraId="4C0B0048" w14:textId="596FFB6B" w:rsidR="00855272" w:rsidRPr="00DB63A3" w:rsidRDefault="00855272" w:rsidP="00DB63A3">
      <w:pPr>
        <w:pStyle w:val="a3"/>
        <w:widowControl/>
        <w:shd w:val="clear" w:color="auto" w:fill="FFFFFF"/>
        <w:spacing w:beforeAutospacing="0" w:afterAutospacing="0"/>
        <w:textAlignment w:val="top"/>
        <w:rPr>
          <w:rFonts w:ascii="宋体" w:eastAsia="宋体" w:hAnsi="宋体" w:cs="宋体"/>
          <w:color w:val="333333"/>
          <w:sz w:val="21"/>
          <w:szCs w:val="21"/>
        </w:rPr>
      </w:pPr>
    </w:p>
    <w:sectPr w:rsidR="00855272" w:rsidRPr="00DB63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24E63" w14:textId="77777777" w:rsidR="0040708B" w:rsidRDefault="0040708B" w:rsidP="002433A2">
      <w:r>
        <w:separator/>
      </w:r>
    </w:p>
  </w:endnote>
  <w:endnote w:type="continuationSeparator" w:id="0">
    <w:p w14:paraId="168E9F84" w14:textId="77777777" w:rsidR="0040708B" w:rsidRDefault="0040708B" w:rsidP="0024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CD2BC" w14:textId="77777777" w:rsidR="0040708B" w:rsidRDefault="0040708B" w:rsidP="002433A2">
      <w:r>
        <w:separator/>
      </w:r>
    </w:p>
  </w:footnote>
  <w:footnote w:type="continuationSeparator" w:id="0">
    <w:p w14:paraId="40F1AE5B" w14:textId="77777777" w:rsidR="0040708B" w:rsidRDefault="0040708B" w:rsidP="00243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92544"/>
    <w:multiLevelType w:val="hybridMultilevel"/>
    <w:tmpl w:val="50CE70A0"/>
    <w:lvl w:ilvl="0" w:tplc="FC48EB0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730120"/>
    <w:rsid w:val="002433A2"/>
    <w:rsid w:val="00357E5E"/>
    <w:rsid w:val="0040708B"/>
    <w:rsid w:val="0054157A"/>
    <w:rsid w:val="0068503E"/>
    <w:rsid w:val="00764C62"/>
    <w:rsid w:val="007720B5"/>
    <w:rsid w:val="00855272"/>
    <w:rsid w:val="00911545"/>
    <w:rsid w:val="00BD0AA9"/>
    <w:rsid w:val="00DB63A3"/>
    <w:rsid w:val="01730120"/>
    <w:rsid w:val="13D35BDF"/>
    <w:rsid w:val="2FE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1F6DFB"/>
  <w15:docId w15:val="{54D3962C-4B8B-4456-80E0-7E7BB38C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2433A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433A2"/>
    <w:rPr>
      <w:rFonts w:asciiTheme="minorHAnsi" w:eastAsiaTheme="minorEastAsia" w:hAnsiTheme="minorHAnsi" w:cstheme="minorBidi"/>
      <w:kern w:val="2"/>
      <w:sz w:val="18"/>
      <w:szCs w:val="18"/>
    </w:rPr>
  </w:style>
  <w:style w:type="paragraph" w:styleId="a7">
    <w:name w:val="footer"/>
    <w:basedOn w:val="a"/>
    <w:link w:val="a8"/>
    <w:rsid w:val="002433A2"/>
    <w:pPr>
      <w:tabs>
        <w:tab w:val="center" w:pos="4153"/>
        <w:tab w:val="right" w:pos="8306"/>
      </w:tabs>
      <w:snapToGrid w:val="0"/>
      <w:jc w:val="left"/>
    </w:pPr>
    <w:rPr>
      <w:sz w:val="18"/>
      <w:szCs w:val="18"/>
    </w:rPr>
  </w:style>
  <w:style w:type="character" w:customStyle="1" w:styleId="a8">
    <w:name w:val="页脚 字符"/>
    <w:basedOn w:val="a0"/>
    <w:link w:val="a7"/>
    <w:rsid w:val="002433A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肉多多wsy</dc:creator>
  <cp:lastModifiedBy>ZHANG YU</cp:lastModifiedBy>
  <cp:revision>9</cp:revision>
  <dcterms:created xsi:type="dcterms:W3CDTF">2020-10-18T09:30:00Z</dcterms:created>
  <dcterms:modified xsi:type="dcterms:W3CDTF">2020-10-18T09:50:00Z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