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312" w:lineRule="auto"/>
        <w:jc w:val="center"/>
        <w:rPr>
          <w:rFonts w:cs="Arial"/>
          <w:color w:val="333333"/>
          <w:sz w:val="32"/>
          <w:szCs w:val="24"/>
        </w:rPr>
      </w:pPr>
      <w:r>
        <w:rPr>
          <w:rFonts w:hint="eastAsia" w:cs="Arial"/>
          <w:color w:val="333333"/>
          <w:sz w:val="32"/>
          <w:szCs w:val="24"/>
        </w:rPr>
        <w:t xml:space="preserve">促教师专业发展、助学生生命成长 </w:t>
      </w:r>
    </w:p>
    <w:p>
      <w:pPr>
        <w:spacing w:line="312" w:lineRule="auto"/>
        <w:jc w:val="right"/>
        <w:rPr>
          <w:rFonts w:ascii="楷体" w:hAnsi="楷体" w:eastAsia="楷体"/>
          <w:b/>
          <w:sz w:val="28"/>
          <w:szCs w:val="24"/>
        </w:rPr>
      </w:pPr>
      <w:r>
        <w:rPr>
          <w:rFonts w:hint="eastAsia" w:ascii="楷体" w:hAnsi="楷体" w:eastAsia="楷体"/>
          <w:b/>
          <w:sz w:val="28"/>
          <w:szCs w:val="24"/>
        </w:rPr>
        <w:t>龙虎塘第二实验小学2</w:t>
      </w:r>
      <w:r>
        <w:rPr>
          <w:rFonts w:ascii="楷体" w:hAnsi="楷体" w:eastAsia="楷体"/>
          <w:b/>
          <w:sz w:val="28"/>
          <w:szCs w:val="24"/>
        </w:rPr>
        <w:t>0</w:t>
      </w:r>
      <w:r>
        <w:rPr>
          <w:rFonts w:hint="eastAsia" w:ascii="楷体" w:hAnsi="楷体" w:eastAsia="楷体"/>
          <w:b/>
          <w:sz w:val="28"/>
          <w:szCs w:val="24"/>
        </w:rPr>
        <w:t>20-</w:t>
      </w:r>
      <w:r>
        <w:rPr>
          <w:rFonts w:ascii="楷体" w:hAnsi="楷体" w:eastAsia="楷体"/>
          <w:b/>
          <w:sz w:val="28"/>
          <w:szCs w:val="24"/>
        </w:rPr>
        <w:t>202</w:t>
      </w:r>
      <w:r>
        <w:rPr>
          <w:rFonts w:hint="eastAsia" w:ascii="楷体" w:hAnsi="楷体" w:eastAsia="楷体"/>
          <w:b/>
          <w:sz w:val="28"/>
          <w:szCs w:val="24"/>
        </w:rPr>
        <w:t>1学年第一学期数学学科组学期工作计划</w:t>
      </w:r>
    </w:p>
    <w:p>
      <w:pPr>
        <w:pStyle w:val="11"/>
        <w:numPr>
          <w:ilvl w:val="0"/>
          <w:numId w:val="1"/>
        </w:numPr>
        <w:spacing w:line="312" w:lineRule="auto"/>
        <w:ind w:firstLineChars="0"/>
        <w:rPr>
          <w:rFonts w:ascii="宋体" w:hAnsi="宋体"/>
          <w:b/>
          <w:color w:val="0070C0"/>
          <w:szCs w:val="24"/>
        </w:rPr>
      </w:pPr>
      <w:r>
        <w:rPr>
          <w:rFonts w:hint="eastAsia" w:ascii="宋体" w:hAnsi="宋体"/>
          <w:b/>
          <w:color w:val="0070C0"/>
          <w:szCs w:val="24"/>
        </w:rPr>
        <w:t>教师分析</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804"/>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12" w:lineRule="auto"/>
              <w:jc w:val="center"/>
              <w:rPr>
                <w:rFonts w:ascii="宋体" w:hAnsi="宋体"/>
                <w:b/>
                <w:kern w:val="0"/>
                <w:szCs w:val="24"/>
              </w:rPr>
            </w:pPr>
            <w:r>
              <w:rPr>
                <w:rFonts w:hint="eastAsia" w:ascii="宋体" w:hAnsi="宋体"/>
                <w:b/>
                <w:kern w:val="0"/>
                <w:szCs w:val="24"/>
              </w:rPr>
              <w:t>梯队分布</w:t>
            </w:r>
          </w:p>
        </w:tc>
        <w:tc>
          <w:tcPr>
            <w:tcW w:w="2804" w:type="dxa"/>
          </w:tcPr>
          <w:p>
            <w:pPr>
              <w:spacing w:line="312" w:lineRule="auto"/>
              <w:jc w:val="center"/>
              <w:rPr>
                <w:rFonts w:ascii="宋体" w:hAnsi="宋体"/>
                <w:b/>
                <w:kern w:val="0"/>
                <w:szCs w:val="24"/>
              </w:rPr>
            </w:pPr>
            <w:r>
              <w:rPr>
                <w:rFonts w:hint="eastAsia" w:ascii="宋体" w:hAnsi="宋体"/>
                <w:b/>
                <w:kern w:val="0"/>
                <w:szCs w:val="24"/>
              </w:rPr>
              <w:t>第一梯队</w:t>
            </w:r>
          </w:p>
        </w:tc>
        <w:tc>
          <w:tcPr>
            <w:tcW w:w="2464" w:type="dxa"/>
          </w:tcPr>
          <w:p>
            <w:pPr>
              <w:spacing w:line="312" w:lineRule="auto"/>
              <w:jc w:val="center"/>
              <w:rPr>
                <w:rFonts w:ascii="宋体" w:hAnsi="宋体"/>
                <w:b/>
                <w:kern w:val="0"/>
                <w:szCs w:val="24"/>
              </w:rPr>
            </w:pPr>
            <w:r>
              <w:rPr>
                <w:rFonts w:hint="eastAsia" w:ascii="宋体" w:hAnsi="宋体"/>
                <w:b/>
                <w:kern w:val="0"/>
                <w:szCs w:val="24"/>
              </w:rPr>
              <w:t>第二梯队</w:t>
            </w:r>
          </w:p>
        </w:tc>
        <w:tc>
          <w:tcPr>
            <w:tcW w:w="2464" w:type="dxa"/>
          </w:tcPr>
          <w:p>
            <w:pPr>
              <w:spacing w:line="312" w:lineRule="auto"/>
              <w:jc w:val="center"/>
              <w:rPr>
                <w:rFonts w:ascii="宋体" w:hAnsi="宋体"/>
                <w:b/>
                <w:kern w:val="0"/>
                <w:szCs w:val="24"/>
              </w:rPr>
            </w:pPr>
            <w:r>
              <w:rPr>
                <w:rFonts w:hint="eastAsia" w:ascii="宋体" w:hAnsi="宋体"/>
                <w:b/>
                <w:kern w:val="0"/>
                <w:szCs w:val="24"/>
              </w:rPr>
              <w:t>第三梯队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12" w:lineRule="auto"/>
              <w:rPr>
                <w:rFonts w:ascii="宋体" w:hAnsi="宋体"/>
                <w:kern w:val="0"/>
                <w:szCs w:val="24"/>
              </w:rPr>
            </w:pPr>
            <w:r>
              <w:rPr>
                <w:rFonts w:hint="eastAsia" w:ascii="宋体" w:hAnsi="宋体"/>
                <w:kern w:val="0"/>
                <w:szCs w:val="24"/>
              </w:rPr>
              <w:t xml:space="preserve"> 人数（百分比）</w:t>
            </w:r>
          </w:p>
        </w:tc>
        <w:tc>
          <w:tcPr>
            <w:tcW w:w="2804" w:type="dxa"/>
          </w:tcPr>
          <w:p>
            <w:pPr>
              <w:spacing w:line="312" w:lineRule="auto"/>
              <w:rPr>
                <w:rFonts w:ascii="宋体" w:hAnsi="宋体"/>
                <w:kern w:val="0"/>
                <w:szCs w:val="24"/>
              </w:rPr>
            </w:pPr>
            <w:r>
              <w:rPr>
                <w:rFonts w:hint="eastAsia" w:ascii="宋体" w:hAnsi="宋体"/>
                <w:kern w:val="0"/>
                <w:szCs w:val="24"/>
              </w:rPr>
              <w:t>11人（45.8%）</w:t>
            </w:r>
          </w:p>
        </w:tc>
        <w:tc>
          <w:tcPr>
            <w:tcW w:w="2464" w:type="dxa"/>
          </w:tcPr>
          <w:p>
            <w:pPr>
              <w:spacing w:line="312" w:lineRule="auto"/>
              <w:rPr>
                <w:rFonts w:ascii="宋体" w:hAnsi="宋体"/>
                <w:kern w:val="0"/>
                <w:szCs w:val="24"/>
              </w:rPr>
            </w:pPr>
            <w:r>
              <w:rPr>
                <w:rFonts w:hint="eastAsia" w:ascii="宋体" w:hAnsi="宋体"/>
                <w:kern w:val="0"/>
                <w:szCs w:val="24"/>
              </w:rPr>
              <w:t>7人（29.2%）</w:t>
            </w:r>
          </w:p>
        </w:tc>
        <w:tc>
          <w:tcPr>
            <w:tcW w:w="2464" w:type="dxa"/>
          </w:tcPr>
          <w:p>
            <w:pPr>
              <w:spacing w:line="312" w:lineRule="auto"/>
              <w:rPr>
                <w:rFonts w:ascii="宋体" w:hAnsi="宋体"/>
                <w:kern w:val="0"/>
                <w:szCs w:val="24"/>
              </w:rPr>
            </w:pPr>
            <w:r>
              <w:rPr>
                <w:rFonts w:hint="eastAsia" w:ascii="宋体" w:hAnsi="宋体"/>
                <w:kern w:val="0"/>
                <w:szCs w:val="24"/>
              </w:rPr>
              <w:t>6人（25%）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12" w:lineRule="auto"/>
              <w:rPr>
                <w:rFonts w:ascii="宋体" w:hAnsi="宋体"/>
                <w:kern w:val="0"/>
                <w:szCs w:val="24"/>
              </w:rPr>
            </w:pPr>
          </w:p>
        </w:tc>
        <w:tc>
          <w:tcPr>
            <w:tcW w:w="2804" w:type="dxa"/>
          </w:tcPr>
          <w:p>
            <w:pPr>
              <w:spacing w:line="312" w:lineRule="auto"/>
              <w:rPr>
                <w:rFonts w:ascii="宋体" w:hAnsi="宋体" w:cs="宋体"/>
                <w:color w:val="000000"/>
                <w:sz w:val="22"/>
              </w:rPr>
            </w:pPr>
            <w:r>
              <w:rPr>
                <w:rFonts w:hint="eastAsia"/>
                <w:color w:val="000000"/>
                <w:sz w:val="22"/>
              </w:rPr>
              <w:t>荆亚琴</w:t>
            </w:r>
            <w:r>
              <w:rPr>
                <w:rFonts w:hint="eastAsia"/>
                <w:b/>
                <w:bCs/>
                <w:color w:val="FF0000"/>
                <w:sz w:val="22"/>
              </w:rPr>
              <w:t>（市学带）</w:t>
            </w:r>
          </w:p>
        </w:tc>
        <w:tc>
          <w:tcPr>
            <w:tcW w:w="2464" w:type="dxa"/>
          </w:tcPr>
          <w:p>
            <w:pPr>
              <w:spacing w:line="312" w:lineRule="auto"/>
            </w:pPr>
            <w:r>
              <w:rPr>
                <w:rFonts w:hint="eastAsia"/>
              </w:rPr>
              <w:t>杨建芬</w:t>
            </w:r>
          </w:p>
        </w:tc>
        <w:tc>
          <w:tcPr>
            <w:tcW w:w="2464" w:type="dxa"/>
          </w:tcPr>
          <w:p>
            <w:pPr>
              <w:spacing w:line="312" w:lineRule="auto"/>
            </w:pPr>
            <w:r>
              <w:rPr>
                <w:rFonts w:hint="eastAsia"/>
              </w:rPr>
              <w:t>王凤昌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12" w:lineRule="auto"/>
              <w:rPr>
                <w:rFonts w:ascii="宋体" w:hAnsi="宋体"/>
                <w:kern w:val="0"/>
                <w:szCs w:val="24"/>
              </w:rPr>
            </w:pPr>
          </w:p>
        </w:tc>
        <w:tc>
          <w:tcPr>
            <w:tcW w:w="2804" w:type="dxa"/>
          </w:tcPr>
          <w:p>
            <w:pPr>
              <w:spacing w:line="312" w:lineRule="auto"/>
              <w:rPr>
                <w:rFonts w:ascii="宋体" w:hAnsi="宋体" w:cs="宋体"/>
                <w:color w:val="000000"/>
                <w:sz w:val="22"/>
              </w:rPr>
            </w:pPr>
            <w:r>
              <w:rPr>
                <w:rFonts w:hint="eastAsia"/>
                <w:color w:val="000000"/>
                <w:sz w:val="22"/>
              </w:rPr>
              <w:t>许秋明</w:t>
            </w:r>
          </w:p>
        </w:tc>
        <w:tc>
          <w:tcPr>
            <w:tcW w:w="2464" w:type="dxa"/>
          </w:tcPr>
          <w:p>
            <w:pPr>
              <w:spacing w:line="312" w:lineRule="auto"/>
            </w:pPr>
            <w:r>
              <w:rPr>
                <w:rFonts w:hint="eastAsia"/>
              </w:rPr>
              <w:t>季琳</w:t>
            </w:r>
          </w:p>
        </w:tc>
        <w:tc>
          <w:tcPr>
            <w:tcW w:w="2464" w:type="dxa"/>
          </w:tcPr>
          <w:p>
            <w:pPr>
              <w:spacing w:line="312" w:lineRule="auto"/>
            </w:pPr>
            <w:r>
              <w:rPr>
                <w:rFonts w:hint="eastAsia"/>
              </w:rPr>
              <w:t>朱莹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12" w:lineRule="auto"/>
              <w:rPr>
                <w:rFonts w:ascii="宋体" w:hAnsi="宋体"/>
                <w:kern w:val="0"/>
                <w:szCs w:val="24"/>
              </w:rPr>
            </w:pPr>
          </w:p>
        </w:tc>
        <w:tc>
          <w:tcPr>
            <w:tcW w:w="2804" w:type="dxa"/>
          </w:tcPr>
          <w:p>
            <w:pPr>
              <w:spacing w:line="312" w:lineRule="auto"/>
            </w:pPr>
            <w:r>
              <w:rPr>
                <w:rFonts w:hint="eastAsia"/>
              </w:rPr>
              <w:t>何玲洁</w:t>
            </w:r>
          </w:p>
        </w:tc>
        <w:tc>
          <w:tcPr>
            <w:tcW w:w="2464" w:type="dxa"/>
          </w:tcPr>
          <w:p>
            <w:pPr>
              <w:spacing w:line="312" w:lineRule="auto"/>
            </w:pPr>
            <w:r>
              <w:rPr>
                <w:rFonts w:hint="eastAsia"/>
              </w:rPr>
              <w:t>叶朝阳</w:t>
            </w:r>
          </w:p>
        </w:tc>
        <w:tc>
          <w:tcPr>
            <w:tcW w:w="2464" w:type="dxa"/>
          </w:tcPr>
          <w:p>
            <w:pPr>
              <w:spacing w:line="312" w:lineRule="auto"/>
            </w:pPr>
            <w:r>
              <w:rPr>
                <w:rFonts w:hint="eastAsia"/>
              </w:rPr>
              <w:t>孙丹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12" w:lineRule="auto"/>
              <w:rPr>
                <w:rFonts w:ascii="宋体" w:hAnsi="宋体"/>
                <w:kern w:val="0"/>
                <w:szCs w:val="24"/>
              </w:rPr>
            </w:pPr>
          </w:p>
        </w:tc>
        <w:tc>
          <w:tcPr>
            <w:tcW w:w="2804" w:type="dxa"/>
          </w:tcPr>
          <w:p>
            <w:pPr>
              <w:spacing w:line="312" w:lineRule="auto"/>
            </w:pPr>
            <w:r>
              <w:rPr>
                <w:rFonts w:hint="eastAsia"/>
              </w:rPr>
              <w:t>徐艳丽</w:t>
            </w:r>
          </w:p>
        </w:tc>
        <w:tc>
          <w:tcPr>
            <w:tcW w:w="2464" w:type="dxa"/>
          </w:tcPr>
          <w:p>
            <w:pPr>
              <w:spacing w:line="312" w:lineRule="auto"/>
            </w:pPr>
            <w:r>
              <w:rPr>
                <w:rFonts w:hint="eastAsia"/>
              </w:rPr>
              <w:t>周丹</w:t>
            </w:r>
          </w:p>
        </w:tc>
        <w:tc>
          <w:tcPr>
            <w:tcW w:w="2464" w:type="dxa"/>
          </w:tcPr>
          <w:p>
            <w:pPr>
              <w:spacing w:line="312" w:lineRule="auto"/>
              <w:rPr>
                <w:rFonts w:ascii="宋体" w:hAnsi="宋体"/>
                <w:kern w:val="0"/>
                <w:szCs w:val="24"/>
              </w:rPr>
            </w:pPr>
            <w:r>
              <w:rPr>
                <w:rFonts w:hint="eastAsia" w:ascii="宋体" w:hAnsi="宋体"/>
                <w:kern w:val="0"/>
                <w:szCs w:val="24"/>
              </w:rPr>
              <w:t>聘用1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12" w:lineRule="auto"/>
              <w:rPr>
                <w:rFonts w:ascii="宋体" w:hAnsi="宋体"/>
                <w:kern w:val="0"/>
                <w:szCs w:val="24"/>
              </w:rPr>
            </w:pPr>
          </w:p>
        </w:tc>
        <w:tc>
          <w:tcPr>
            <w:tcW w:w="2804" w:type="dxa"/>
          </w:tcPr>
          <w:p>
            <w:pPr>
              <w:spacing w:line="312" w:lineRule="auto"/>
            </w:pPr>
            <w:r>
              <w:rPr>
                <w:rFonts w:hint="eastAsia"/>
              </w:rPr>
              <w:t>朱玥</w:t>
            </w:r>
            <w:r>
              <w:rPr>
                <w:rFonts w:hint="eastAsia"/>
                <w:b/>
                <w:bCs/>
                <w:color w:val="FF0000"/>
              </w:rPr>
              <w:t>（区新秀）</w:t>
            </w:r>
          </w:p>
        </w:tc>
        <w:tc>
          <w:tcPr>
            <w:tcW w:w="2464" w:type="dxa"/>
          </w:tcPr>
          <w:p>
            <w:pPr>
              <w:spacing w:line="312" w:lineRule="auto"/>
            </w:pPr>
            <w:r>
              <w:rPr>
                <w:rFonts w:hint="eastAsia"/>
              </w:rPr>
              <w:t>蒋宁</w:t>
            </w:r>
          </w:p>
        </w:tc>
        <w:tc>
          <w:tcPr>
            <w:tcW w:w="2464" w:type="dxa"/>
          </w:tcPr>
          <w:p>
            <w:pPr>
              <w:spacing w:line="312" w:lineRule="auto"/>
              <w:rPr>
                <w:rFonts w:ascii="宋体" w:hAnsi="宋体"/>
                <w:kern w:val="0"/>
                <w:szCs w:val="24"/>
              </w:rPr>
            </w:pPr>
            <w:r>
              <w:rPr>
                <w:rFonts w:hint="eastAsia" w:ascii="宋体" w:hAnsi="宋体"/>
                <w:kern w:val="0"/>
                <w:szCs w:val="24"/>
              </w:rPr>
              <w:t>聘用2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12" w:lineRule="auto"/>
              <w:rPr>
                <w:rFonts w:ascii="宋体" w:hAnsi="宋体"/>
                <w:kern w:val="0"/>
                <w:szCs w:val="24"/>
              </w:rPr>
            </w:pPr>
          </w:p>
        </w:tc>
        <w:tc>
          <w:tcPr>
            <w:tcW w:w="2804" w:type="dxa"/>
          </w:tcPr>
          <w:p>
            <w:pPr>
              <w:spacing w:line="312" w:lineRule="auto"/>
            </w:pPr>
            <w:r>
              <w:rPr>
                <w:rFonts w:hint="eastAsia"/>
              </w:rPr>
              <w:t>顾鹏飞</w:t>
            </w:r>
          </w:p>
        </w:tc>
        <w:tc>
          <w:tcPr>
            <w:tcW w:w="2464" w:type="dxa"/>
          </w:tcPr>
          <w:p>
            <w:pPr>
              <w:spacing w:line="312" w:lineRule="auto"/>
            </w:pPr>
            <w:r>
              <w:rPr>
                <w:rFonts w:hint="eastAsia"/>
              </w:rPr>
              <w:t>孔钰燕</w:t>
            </w:r>
          </w:p>
        </w:tc>
        <w:tc>
          <w:tcPr>
            <w:tcW w:w="2464" w:type="dxa"/>
          </w:tcPr>
          <w:p>
            <w:pPr>
              <w:spacing w:line="312" w:lineRule="auto"/>
              <w:rPr>
                <w:rFonts w:ascii="宋体" w:hAnsi="宋体"/>
                <w:kern w:val="0"/>
                <w:szCs w:val="24"/>
              </w:rPr>
            </w:pPr>
            <w:r>
              <w:rPr>
                <w:rFonts w:hint="eastAsia" w:ascii="宋体" w:hAnsi="宋体"/>
                <w:kern w:val="0"/>
                <w:szCs w:val="24"/>
              </w:rPr>
              <w:t>聘用3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12" w:lineRule="auto"/>
              <w:rPr>
                <w:rFonts w:ascii="宋体" w:hAnsi="宋体"/>
                <w:kern w:val="0"/>
                <w:szCs w:val="24"/>
              </w:rPr>
            </w:pPr>
          </w:p>
        </w:tc>
        <w:tc>
          <w:tcPr>
            <w:tcW w:w="2804" w:type="dxa"/>
          </w:tcPr>
          <w:p>
            <w:pPr>
              <w:spacing w:line="312" w:lineRule="auto"/>
            </w:pPr>
            <w:r>
              <w:rPr>
                <w:rFonts w:hint="eastAsia"/>
              </w:rPr>
              <w:t>耿云</w:t>
            </w:r>
            <w:r>
              <w:rPr>
                <w:rFonts w:hint="eastAsia"/>
                <w:b/>
                <w:bCs/>
                <w:color w:val="FF0000"/>
              </w:rPr>
              <w:t>（区骨干）</w:t>
            </w:r>
          </w:p>
        </w:tc>
        <w:tc>
          <w:tcPr>
            <w:tcW w:w="2464" w:type="dxa"/>
          </w:tcPr>
          <w:p>
            <w:pPr>
              <w:spacing w:line="312" w:lineRule="auto"/>
            </w:pPr>
            <w:r>
              <w:rPr>
                <w:rFonts w:hint="eastAsia"/>
              </w:rPr>
              <w:t>林浩</w:t>
            </w:r>
          </w:p>
        </w:tc>
        <w:tc>
          <w:tcPr>
            <w:tcW w:w="2464" w:type="dxa"/>
          </w:tcPr>
          <w:p>
            <w:pPr>
              <w:spacing w:line="312" w:lineRule="auto"/>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122" w:type="dxa"/>
          </w:tcPr>
          <w:p>
            <w:pPr>
              <w:spacing w:line="312" w:lineRule="auto"/>
              <w:rPr>
                <w:rFonts w:ascii="宋体" w:hAnsi="宋体"/>
                <w:kern w:val="0"/>
                <w:szCs w:val="24"/>
              </w:rPr>
            </w:pPr>
          </w:p>
        </w:tc>
        <w:tc>
          <w:tcPr>
            <w:tcW w:w="2804" w:type="dxa"/>
          </w:tcPr>
          <w:p>
            <w:pPr>
              <w:spacing w:line="312" w:lineRule="auto"/>
              <w:rPr>
                <w:rFonts w:ascii="宋体" w:hAnsi="宋体"/>
                <w:kern w:val="0"/>
                <w:szCs w:val="24"/>
              </w:rPr>
            </w:pPr>
            <w:r>
              <w:rPr>
                <w:rFonts w:hint="eastAsia" w:ascii="宋体" w:hAnsi="宋体"/>
                <w:kern w:val="0"/>
                <w:szCs w:val="24"/>
              </w:rPr>
              <w:t>蔡芬</w:t>
            </w:r>
            <w:r>
              <w:rPr>
                <w:rFonts w:hint="eastAsia"/>
                <w:b/>
                <w:bCs/>
                <w:color w:val="FF0000"/>
              </w:rPr>
              <w:t>（区骨干</w:t>
            </w:r>
            <w:r>
              <w:rPr>
                <w:rFonts w:hint="eastAsia" w:ascii="宋体" w:hAnsi="宋体"/>
                <w:kern w:val="0"/>
                <w:szCs w:val="24"/>
              </w:rPr>
              <w:t>）</w:t>
            </w:r>
          </w:p>
        </w:tc>
        <w:tc>
          <w:tcPr>
            <w:tcW w:w="2464" w:type="dxa"/>
          </w:tcPr>
          <w:p>
            <w:pPr>
              <w:spacing w:line="312" w:lineRule="auto"/>
              <w:rPr>
                <w:rFonts w:ascii="宋体" w:hAnsi="宋体"/>
                <w:kern w:val="0"/>
                <w:szCs w:val="24"/>
              </w:rPr>
            </w:pPr>
          </w:p>
        </w:tc>
        <w:tc>
          <w:tcPr>
            <w:tcW w:w="2464" w:type="dxa"/>
          </w:tcPr>
          <w:p>
            <w:pPr>
              <w:spacing w:line="312" w:lineRule="auto"/>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spacing w:line="312" w:lineRule="auto"/>
              <w:rPr>
                <w:rFonts w:ascii="宋体" w:hAnsi="宋体"/>
                <w:kern w:val="0"/>
                <w:szCs w:val="24"/>
              </w:rPr>
            </w:pPr>
          </w:p>
        </w:tc>
        <w:tc>
          <w:tcPr>
            <w:tcW w:w="2804" w:type="dxa"/>
          </w:tcPr>
          <w:p>
            <w:pPr>
              <w:spacing w:line="312" w:lineRule="auto"/>
              <w:rPr>
                <w:rFonts w:ascii="宋体" w:hAnsi="宋体"/>
                <w:kern w:val="0"/>
                <w:szCs w:val="24"/>
              </w:rPr>
            </w:pPr>
            <w:r>
              <w:rPr>
                <w:rFonts w:hint="eastAsia" w:ascii="宋体" w:hAnsi="宋体"/>
                <w:kern w:val="0"/>
                <w:szCs w:val="24"/>
              </w:rPr>
              <w:t>杨伟</w:t>
            </w:r>
            <w:r>
              <w:rPr>
                <w:rFonts w:hint="eastAsia"/>
                <w:b/>
                <w:bCs/>
                <w:color w:val="FF0000"/>
              </w:rPr>
              <w:t>（市能手）</w:t>
            </w:r>
          </w:p>
        </w:tc>
        <w:tc>
          <w:tcPr>
            <w:tcW w:w="2464" w:type="dxa"/>
          </w:tcPr>
          <w:p>
            <w:pPr>
              <w:spacing w:line="312" w:lineRule="auto"/>
              <w:rPr>
                <w:rFonts w:ascii="宋体" w:hAnsi="宋体"/>
                <w:kern w:val="0"/>
                <w:szCs w:val="24"/>
              </w:rPr>
            </w:pPr>
          </w:p>
        </w:tc>
        <w:tc>
          <w:tcPr>
            <w:tcW w:w="2464" w:type="dxa"/>
          </w:tcPr>
          <w:p>
            <w:pPr>
              <w:spacing w:line="312" w:lineRule="auto"/>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12" w:lineRule="auto"/>
              <w:rPr>
                <w:rFonts w:ascii="宋体" w:hAnsi="宋体"/>
                <w:kern w:val="0"/>
                <w:szCs w:val="24"/>
              </w:rPr>
            </w:pPr>
          </w:p>
        </w:tc>
        <w:tc>
          <w:tcPr>
            <w:tcW w:w="2804" w:type="dxa"/>
          </w:tcPr>
          <w:p>
            <w:pPr>
              <w:spacing w:line="312" w:lineRule="auto"/>
              <w:rPr>
                <w:rFonts w:ascii="宋体" w:hAnsi="宋体"/>
                <w:kern w:val="0"/>
                <w:szCs w:val="24"/>
              </w:rPr>
            </w:pPr>
            <w:r>
              <w:rPr>
                <w:rFonts w:hint="eastAsia" w:ascii="宋体" w:hAnsi="宋体"/>
                <w:kern w:val="0"/>
                <w:szCs w:val="24"/>
              </w:rPr>
              <w:t>章叶</w:t>
            </w:r>
          </w:p>
        </w:tc>
        <w:tc>
          <w:tcPr>
            <w:tcW w:w="2464" w:type="dxa"/>
          </w:tcPr>
          <w:p>
            <w:pPr>
              <w:spacing w:line="312" w:lineRule="auto"/>
              <w:rPr>
                <w:rFonts w:ascii="宋体" w:hAnsi="宋体"/>
                <w:kern w:val="0"/>
                <w:szCs w:val="24"/>
              </w:rPr>
            </w:pPr>
          </w:p>
        </w:tc>
        <w:tc>
          <w:tcPr>
            <w:tcW w:w="2464" w:type="dxa"/>
          </w:tcPr>
          <w:p>
            <w:pPr>
              <w:spacing w:line="312" w:lineRule="auto"/>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12" w:lineRule="auto"/>
              <w:rPr>
                <w:rFonts w:ascii="宋体" w:hAnsi="宋体"/>
                <w:kern w:val="0"/>
                <w:szCs w:val="24"/>
              </w:rPr>
            </w:pPr>
          </w:p>
        </w:tc>
        <w:tc>
          <w:tcPr>
            <w:tcW w:w="2804" w:type="dxa"/>
          </w:tcPr>
          <w:p>
            <w:pPr>
              <w:spacing w:line="312" w:lineRule="auto"/>
              <w:rPr>
                <w:rFonts w:ascii="宋体" w:hAnsi="宋体"/>
                <w:kern w:val="0"/>
                <w:szCs w:val="24"/>
              </w:rPr>
            </w:pPr>
            <w:r>
              <w:rPr>
                <w:rFonts w:hint="eastAsia" w:ascii="宋体" w:hAnsi="宋体"/>
                <w:kern w:val="0"/>
                <w:szCs w:val="24"/>
              </w:rPr>
              <w:t>姜丽娟</w:t>
            </w:r>
          </w:p>
        </w:tc>
        <w:tc>
          <w:tcPr>
            <w:tcW w:w="2464" w:type="dxa"/>
          </w:tcPr>
          <w:p>
            <w:pPr>
              <w:spacing w:line="312" w:lineRule="auto"/>
              <w:rPr>
                <w:rFonts w:ascii="宋体" w:hAnsi="宋体"/>
                <w:kern w:val="0"/>
                <w:szCs w:val="24"/>
              </w:rPr>
            </w:pPr>
          </w:p>
        </w:tc>
        <w:tc>
          <w:tcPr>
            <w:tcW w:w="2464" w:type="dxa"/>
          </w:tcPr>
          <w:p>
            <w:pPr>
              <w:spacing w:line="312" w:lineRule="auto"/>
              <w:rPr>
                <w:rFonts w:ascii="宋体" w:hAnsi="宋体"/>
                <w:kern w:val="0"/>
                <w:szCs w:val="24"/>
              </w:rPr>
            </w:pPr>
          </w:p>
        </w:tc>
      </w:tr>
    </w:tbl>
    <w:p>
      <w:pPr>
        <w:spacing w:line="540" w:lineRule="exact"/>
        <w:ind w:firstLine="480" w:firstLineChars="200"/>
        <w:rPr>
          <w:rFonts w:ascii="宋体" w:hAnsi="宋体" w:cs="宋体"/>
          <w:szCs w:val="24"/>
        </w:rPr>
      </w:pPr>
      <w:r>
        <w:rPr>
          <w:rFonts w:hint="eastAsia" w:ascii="宋体" w:hAnsi="宋体"/>
          <w:bCs/>
          <w:szCs w:val="24"/>
        </w:rPr>
        <w:t>龙二小数学学科组虽然非常年轻，但却是一个人才济济，积极向上、业务勤勉的团队。我们严谨、高效，总能在最短的时间内达到最好的效果，充分体现了数学老师的特征。目前五级梯队的占比是20.83%。</w:t>
      </w:r>
      <w:r>
        <w:rPr>
          <w:rFonts w:hint="eastAsia" w:ascii="宋体" w:hAnsi="宋体" w:cs="宋体"/>
          <w:szCs w:val="24"/>
        </w:rPr>
        <w:t>我们乐于钻研，勇于进取。</w:t>
      </w:r>
      <w:r>
        <w:rPr>
          <w:rFonts w:hint="eastAsia" w:ascii="宋体" w:hAnsi="宋体" w:cs="Times New Roman"/>
          <w:kern w:val="0"/>
          <w:szCs w:val="24"/>
        </w:rPr>
        <w:t>过去的一个学期中，</w:t>
      </w:r>
      <w:r>
        <w:rPr>
          <w:rFonts w:hint="eastAsia" w:ascii="宋体" w:hAnsi="宋体" w:cs="宋体"/>
          <w:szCs w:val="24"/>
        </w:rPr>
        <w:t>我们重点突破了“图形类”课堂的教学，形成了图形类课堂教学的一般方法；重点形成了每个教研组自己的研究小主题，并且在自己的研究小主题上有了突破性地进展；重点开展了与学科知识相关的丰富多彩的活动，并在慢慢地形成序列……</w:t>
      </w:r>
    </w:p>
    <w:p>
      <w:pPr>
        <w:pStyle w:val="11"/>
        <w:spacing w:line="312" w:lineRule="auto"/>
        <w:ind w:firstLine="480" w:firstLineChars="0"/>
        <w:rPr>
          <w:rFonts w:ascii="宋体" w:hAnsi="宋体"/>
          <w:bCs/>
          <w:szCs w:val="24"/>
        </w:rPr>
      </w:pPr>
    </w:p>
    <w:p>
      <w:pPr>
        <w:pStyle w:val="11"/>
        <w:numPr>
          <w:ilvl w:val="0"/>
          <w:numId w:val="1"/>
        </w:numPr>
        <w:spacing w:line="312" w:lineRule="auto"/>
        <w:ind w:firstLineChars="0"/>
        <w:rPr>
          <w:rFonts w:ascii="宋体" w:hAnsi="宋体"/>
          <w:b/>
          <w:color w:val="0070C0"/>
          <w:szCs w:val="24"/>
        </w:rPr>
      </w:pPr>
      <w:r>
        <w:rPr>
          <w:rFonts w:hint="eastAsia" w:ascii="宋体" w:hAnsi="宋体"/>
          <w:b/>
          <w:color w:val="0070C0"/>
          <w:szCs w:val="24"/>
        </w:rPr>
        <w:t>学科组分析</w:t>
      </w:r>
    </w:p>
    <w:p>
      <w:pPr>
        <w:spacing w:line="312" w:lineRule="auto"/>
        <w:rPr>
          <w:rFonts w:ascii="宋体" w:hAnsi="宋体"/>
          <w:b/>
          <w:szCs w:val="24"/>
        </w:rPr>
      </w:pPr>
      <w:r>
        <w:rPr>
          <w:rFonts w:hint="eastAsia" w:ascii="宋体" w:hAnsi="宋体"/>
          <w:b/>
          <w:szCs w:val="24"/>
        </w:rPr>
        <w:t>一、优势分析：</w:t>
      </w:r>
    </w:p>
    <w:p>
      <w:pPr>
        <w:snapToGrid w:val="0"/>
        <w:spacing w:line="312" w:lineRule="auto"/>
        <w:jc w:val="both"/>
        <w:rPr>
          <w:rFonts w:ascii="宋体" w:hAnsi="宋体" w:cs="Times New Roman"/>
          <w:b/>
          <w:kern w:val="0"/>
          <w:szCs w:val="24"/>
        </w:rPr>
      </w:pPr>
      <w:r>
        <w:rPr>
          <w:rFonts w:hint="eastAsia" w:ascii="宋体" w:hAnsi="宋体" w:cs="Times New Roman"/>
          <w:b/>
          <w:kern w:val="0"/>
          <w:szCs w:val="24"/>
        </w:rPr>
        <w:t>1.勇于改革、提升自我</w:t>
      </w:r>
    </w:p>
    <w:p>
      <w:pPr>
        <w:spacing w:line="312" w:lineRule="auto"/>
        <w:ind w:firstLine="480" w:firstLineChars="200"/>
      </w:pPr>
      <w:r>
        <w:rPr>
          <w:rFonts w:hint="eastAsia"/>
        </w:rPr>
        <w:t>当大家习惯于原有的思维、行为模式后，想要改变，其实是比较困难的。在过去的一个学年中，我们在数字化使用、教材解读、课堂研究方式、项目组活动、试卷命题及分析等上进行了改革和扎实的研究并取得了不错的效果。我们数学老师希沃技术的使用比较娴熟，分层课堂研究、每个年级的小项目扎实进行、教材解读多种形式进行，最终做到常态化。</w:t>
      </w:r>
    </w:p>
    <w:p>
      <w:pPr>
        <w:snapToGrid w:val="0"/>
        <w:spacing w:line="312" w:lineRule="auto"/>
        <w:jc w:val="both"/>
        <w:rPr>
          <w:rFonts w:ascii="宋体" w:hAnsi="宋体" w:cs="宋体"/>
          <w:b/>
          <w:szCs w:val="24"/>
        </w:rPr>
      </w:pPr>
      <w:r>
        <w:rPr>
          <w:rFonts w:ascii="宋体" w:hAnsi="宋体" w:cs="宋体"/>
          <w:b/>
          <w:kern w:val="0"/>
          <w:szCs w:val="24"/>
        </w:rPr>
        <w:t>2</w:t>
      </w:r>
      <w:r>
        <w:rPr>
          <w:rFonts w:hint="eastAsia" w:ascii="宋体" w:hAnsi="宋体" w:cs="宋体"/>
          <w:b/>
          <w:kern w:val="0"/>
          <w:szCs w:val="24"/>
        </w:rPr>
        <w:t>.自成团体、自主研究</w:t>
      </w:r>
    </w:p>
    <w:p>
      <w:pPr>
        <w:adjustRightInd w:val="0"/>
        <w:snapToGrid w:val="0"/>
        <w:spacing w:line="312" w:lineRule="auto"/>
        <w:ind w:firstLine="480" w:firstLineChars="200"/>
        <w:jc w:val="both"/>
        <w:rPr>
          <w:color w:val="000000"/>
          <w:shd w:val="clear" w:color="auto" w:fill="FFFFFF"/>
        </w:rPr>
      </w:pPr>
      <w:r>
        <w:rPr>
          <w:rFonts w:hint="eastAsia" w:ascii="宋体" w:hAnsi="宋体" w:cs="Times New Roman"/>
          <w:szCs w:val="24"/>
        </w:rPr>
        <w:t>数学学科组努力挖掘学科的“育人”价值。如一年级教研组开展了“图形拼拼乐”，</w:t>
      </w:r>
      <w:r>
        <w:rPr>
          <w:rFonts w:hint="eastAsia"/>
          <w:color w:val="333333"/>
          <w:shd w:val="clear" w:color="auto" w:fill="FFFFFF"/>
        </w:rPr>
        <w:t>孩子们不仅感受了组合图形的无穷奥妙，还领悟到了创意图形的无穷乐趣。</w:t>
      </w:r>
      <w:r>
        <w:rPr>
          <w:rFonts w:hint="eastAsia" w:ascii="宋体" w:hAnsi="宋体" w:cs="Times New Roman"/>
          <w:szCs w:val="24"/>
        </w:rPr>
        <w:t>二年级教研组开展了“日晷的研究”“豆培的快乐之旅”等活动，孩子们学会了用数学的眼光从生活中发现问题、解决问题的方法。三年级开展了“24点大比拼”，</w:t>
      </w:r>
      <w:r>
        <w:rPr>
          <w:rFonts w:hint="eastAsia"/>
          <w:color w:val="000000"/>
          <w:shd w:val="clear" w:color="auto" w:fill="FFFFFF"/>
        </w:rPr>
        <w:t>数学趣味游戏活动，学生在学中玩，在玩中学……</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tcPr>
          <w:p>
            <w:pPr>
              <w:spacing w:line="540" w:lineRule="exact"/>
              <w:jc w:val="center"/>
              <w:rPr>
                <w:rFonts w:ascii="宋体" w:hAnsi="宋体" w:cs="宋体"/>
                <w:b/>
                <w:szCs w:val="24"/>
              </w:rPr>
            </w:pPr>
            <w:r>
              <w:rPr>
                <w:rFonts w:hint="eastAsia" w:ascii="宋体" w:hAnsi="宋体" w:cs="宋体"/>
                <w:b/>
                <w:szCs w:val="24"/>
              </w:rPr>
              <w:t>年级</w:t>
            </w:r>
          </w:p>
        </w:tc>
        <w:tc>
          <w:tcPr>
            <w:tcW w:w="5387" w:type="dxa"/>
          </w:tcPr>
          <w:p>
            <w:pPr>
              <w:spacing w:line="540" w:lineRule="exact"/>
              <w:jc w:val="center"/>
              <w:rPr>
                <w:rFonts w:ascii="宋体" w:hAnsi="宋体" w:cs="宋体"/>
                <w:b/>
                <w:szCs w:val="24"/>
              </w:rPr>
            </w:pPr>
            <w:r>
              <w:rPr>
                <w:rFonts w:hint="eastAsia" w:ascii="宋体" w:hAnsi="宋体" w:cs="宋体"/>
                <w:b/>
                <w:szCs w:val="24"/>
              </w:rPr>
              <w:t>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09" w:type="dxa"/>
          </w:tcPr>
          <w:p>
            <w:pPr>
              <w:spacing w:line="540" w:lineRule="exact"/>
              <w:jc w:val="center"/>
              <w:rPr>
                <w:rFonts w:ascii="宋体" w:hAnsi="宋体" w:cs="宋体"/>
                <w:szCs w:val="24"/>
              </w:rPr>
            </w:pPr>
            <w:r>
              <w:rPr>
                <w:rFonts w:hint="eastAsia" w:ascii="宋体" w:hAnsi="宋体" w:cs="宋体"/>
                <w:szCs w:val="24"/>
              </w:rPr>
              <w:t>一年级</w:t>
            </w:r>
          </w:p>
        </w:tc>
        <w:tc>
          <w:tcPr>
            <w:tcW w:w="5387" w:type="dxa"/>
          </w:tcPr>
          <w:p>
            <w:pPr>
              <w:spacing w:line="540" w:lineRule="exact"/>
              <w:rPr>
                <w:rFonts w:ascii="宋体" w:hAnsi="宋体" w:cs="宋体"/>
                <w:szCs w:val="24"/>
              </w:rPr>
            </w:pPr>
            <w:r>
              <w:rPr>
                <w:rFonts w:hint="eastAsia" w:ascii="宋体" w:hAnsi="宋体" w:cs="宋体"/>
                <w:szCs w:val="24"/>
              </w:rPr>
              <w:t>掷骰子、图形拼拼乐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tcPr>
          <w:p>
            <w:pPr>
              <w:spacing w:line="540" w:lineRule="exact"/>
              <w:jc w:val="center"/>
              <w:rPr>
                <w:rFonts w:ascii="宋体" w:hAnsi="宋体" w:cs="宋体"/>
                <w:szCs w:val="24"/>
              </w:rPr>
            </w:pPr>
            <w:r>
              <w:rPr>
                <w:rFonts w:hint="eastAsia" w:ascii="宋体" w:hAnsi="宋体" w:cs="宋体"/>
                <w:szCs w:val="24"/>
              </w:rPr>
              <w:t>二年级</w:t>
            </w:r>
          </w:p>
        </w:tc>
        <w:tc>
          <w:tcPr>
            <w:tcW w:w="5387" w:type="dxa"/>
          </w:tcPr>
          <w:p>
            <w:pPr>
              <w:spacing w:line="540" w:lineRule="exact"/>
              <w:rPr>
                <w:rFonts w:ascii="宋体" w:hAnsi="宋体" w:cs="宋体"/>
                <w:szCs w:val="24"/>
              </w:rPr>
            </w:pPr>
            <w:r>
              <w:rPr>
                <w:rFonts w:hint="eastAsia" w:ascii="宋体" w:hAnsi="宋体" w:cs="宋体"/>
                <w:szCs w:val="24"/>
              </w:rPr>
              <w:t>认方向、量长度、制钟面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09" w:type="dxa"/>
          </w:tcPr>
          <w:p>
            <w:pPr>
              <w:spacing w:line="540" w:lineRule="exact"/>
              <w:jc w:val="center"/>
              <w:rPr>
                <w:rFonts w:ascii="宋体" w:hAnsi="宋体" w:cs="宋体"/>
                <w:szCs w:val="24"/>
              </w:rPr>
            </w:pPr>
            <w:r>
              <w:rPr>
                <w:rFonts w:hint="eastAsia" w:ascii="宋体" w:hAnsi="宋体" w:cs="宋体"/>
                <w:szCs w:val="24"/>
              </w:rPr>
              <w:t>三年级</w:t>
            </w:r>
          </w:p>
        </w:tc>
        <w:tc>
          <w:tcPr>
            <w:tcW w:w="5387" w:type="dxa"/>
          </w:tcPr>
          <w:p>
            <w:pPr>
              <w:spacing w:line="540" w:lineRule="exact"/>
              <w:rPr>
                <w:rFonts w:ascii="宋体" w:hAnsi="宋体" w:cs="宋体"/>
                <w:szCs w:val="24"/>
              </w:rPr>
            </w:pPr>
            <w:r>
              <w:rPr>
                <w:rFonts w:hint="eastAsia" w:ascii="宋体" w:hAnsi="宋体" w:cs="宋体"/>
                <w:szCs w:val="24"/>
              </w:rPr>
              <w:t>称重量、制日历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tcPr>
          <w:p>
            <w:pPr>
              <w:spacing w:line="540" w:lineRule="exact"/>
              <w:jc w:val="center"/>
              <w:rPr>
                <w:rFonts w:ascii="宋体" w:hAnsi="宋体" w:cs="宋体"/>
                <w:szCs w:val="24"/>
              </w:rPr>
            </w:pPr>
            <w:r>
              <w:rPr>
                <w:rFonts w:hint="eastAsia" w:ascii="宋体" w:hAnsi="宋体" w:cs="宋体"/>
                <w:szCs w:val="24"/>
              </w:rPr>
              <w:t>四年级</w:t>
            </w:r>
          </w:p>
        </w:tc>
        <w:tc>
          <w:tcPr>
            <w:tcW w:w="5387" w:type="dxa"/>
          </w:tcPr>
          <w:p>
            <w:pPr>
              <w:spacing w:line="540" w:lineRule="exact"/>
              <w:rPr>
                <w:rFonts w:ascii="宋体" w:hAnsi="宋体" w:cs="宋体"/>
                <w:szCs w:val="24"/>
              </w:rPr>
            </w:pPr>
            <w:r>
              <w:rPr>
                <w:rFonts w:hint="eastAsia" w:ascii="宋体" w:hAnsi="宋体" w:cs="宋体"/>
                <w:szCs w:val="24"/>
              </w:rPr>
              <w:t>数学魔术、疫情情况统计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09" w:type="dxa"/>
          </w:tcPr>
          <w:p>
            <w:pPr>
              <w:spacing w:line="540" w:lineRule="exact"/>
              <w:jc w:val="center"/>
              <w:rPr>
                <w:rFonts w:ascii="宋体" w:hAnsi="宋体" w:cs="宋体"/>
                <w:szCs w:val="24"/>
              </w:rPr>
            </w:pPr>
            <w:r>
              <w:rPr>
                <w:rFonts w:hint="eastAsia" w:ascii="宋体" w:hAnsi="宋体" w:cs="宋体"/>
                <w:szCs w:val="24"/>
              </w:rPr>
              <w:t>五年级</w:t>
            </w:r>
          </w:p>
        </w:tc>
        <w:tc>
          <w:tcPr>
            <w:tcW w:w="5387" w:type="dxa"/>
          </w:tcPr>
          <w:p>
            <w:pPr>
              <w:spacing w:line="540" w:lineRule="exact"/>
              <w:rPr>
                <w:rFonts w:ascii="宋体" w:hAnsi="宋体" w:cs="宋体"/>
                <w:szCs w:val="24"/>
              </w:rPr>
            </w:pPr>
            <w:r>
              <w:rPr>
                <w:rFonts w:hint="eastAsia" w:ascii="宋体" w:hAnsi="宋体" w:cs="宋体"/>
                <w:szCs w:val="24"/>
              </w:rPr>
              <w:t>绘制自家平面图、数学视角的疫情研究性学习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tcPr>
          <w:p>
            <w:pPr>
              <w:spacing w:line="540" w:lineRule="exact"/>
              <w:jc w:val="center"/>
              <w:rPr>
                <w:rFonts w:ascii="宋体" w:hAnsi="宋体" w:cs="宋体"/>
                <w:szCs w:val="24"/>
              </w:rPr>
            </w:pPr>
            <w:r>
              <w:rPr>
                <w:rFonts w:hint="eastAsia" w:ascii="宋体" w:hAnsi="宋体" w:cs="宋体"/>
                <w:szCs w:val="24"/>
              </w:rPr>
              <w:t>六年级</w:t>
            </w:r>
          </w:p>
        </w:tc>
        <w:tc>
          <w:tcPr>
            <w:tcW w:w="5387" w:type="dxa"/>
          </w:tcPr>
          <w:p>
            <w:pPr>
              <w:spacing w:line="540" w:lineRule="exact"/>
              <w:rPr>
                <w:rFonts w:ascii="宋体" w:hAnsi="宋体" w:cs="宋体"/>
                <w:szCs w:val="24"/>
              </w:rPr>
            </w:pPr>
            <w:r>
              <w:rPr>
                <w:rFonts w:hint="eastAsia" w:ascii="宋体" w:hAnsi="宋体" w:cs="宋体"/>
                <w:szCs w:val="24"/>
              </w:rPr>
              <w:t>比速度、圆柱圆锥立体图形制作</w:t>
            </w:r>
          </w:p>
        </w:tc>
      </w:tr>
    </w:tbl>
    <w:p>
      <w:pPr>
        <w:adjustRightInd w:val="0"/>
        <w:snapToGrid w:val="0"/>
        <w:spacing w:line="312" w:lineRule="auto"/>
        <w:ind w:firstLine="480" w:firstLineChars="200"/>
        <w:jc w:val="both"/>
        <w:rPr>
          <w:color w:val="000000"/>
          <w:shd w:val="clear" w:color="auto" w:fill="FFFFFF"/>
        </w:rPr>
      </w:pPr>
      <w:r>
        <w:rPr>
          <w:rFonts w:hint="eastAsia" w:ascii="宋体" w:hAnsi="宋体" w:cs="宋体"/>
          <w:szCs w:val="24"/>
        </w:rPr>
        <w:t>本学期各教研组最大的进步就是每个教研组都有自己的研究主题。我们的教师真在慢慢地从教书走向研究，正在慢慢地成长为研究型教师。在这样有主题的研究带领下，老师们完整经历研究的过程，逐步形成自己的研究小项目，感受研究的张力。</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2551"/>
        <w:gridCol w:w="4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widowControl/>
              <w:spacing w:line="540" w:lineRule="exact"/>
              <w:jc w:val="center"/>
              <w:rPr>
                <w:rFonts w:ascii="宋体" w:hAnsi="宋体" w:cs="宋体"/>
                <w:b/>
                <w:szCs w:val="24"/>
              </w:rPr>
            </w:pPr>
            <w:r>
              <w:rPr>
                <w:rFonts w:hint="eastAsia" w:ascii="宋体" w:hAnsi="宋体" w:cs="宋体"/>
                <w:b/>
                <w:szCs w:val="24"/>
              </w:rPr>
              <w:t>年级</w:t>
            </w:r>
          </w:p>
        </w:tc>
        <w:tc>
          <w:tcPr>
            <w:tcW w:w="2551" w:type="dxa"/>
            <w:vAlign w:val="center"/>
          </w:tcPr>
          <w:p>
            <w:pPr>
              <w:widowControl/>
              <w:spacing w:line="540" w:lineRule="exact"/>
              <w:jc w:val="center"/>
              <w:rPr>
                <w:rFonts w:ascii="宋体" w:hAnsi="宋体" w:cs="宋体"/>
                <w:b/>
                <w:szCs w:val="24"/>
              </w:rPr>
            </w:pPr>
            <w:r>
              <w:rPr>
                <w:rFonts w:hint="eastAsia" w:ascii="宋体" w:hAnsi="宋体" w:cs="宋体"/>
                <w:b/>
                <w:szCs w:val="24"/>
              </w:rPr>
              <w:t>研究主题</w:t>
            </w:r>
          </w:p>
        </w:tc>
        <w:tc>
          <w:tcPr>
            <w:tcW w:w="4870" w:type="dxa"/>
            <w:vAlign w:val="center"/>
          </w:tcPr>
          <w:p>
            <w:pPr>
              <w:widowControl/>
              <w:spacing w:line="540" w:lineRule="exact"/>
              <w:jc w:val="center"/>
              <w:rPr>
                <w:rFonts w:ascii="宋体" w:hAnsi="宋体" w:cs="宋体"/>
                <w:b/>
                <w:szCs w:val="24"/>
              </w:rPr>
            </w:pPr>
            <w:r>
              <w:rPr>
                <w:rFonts w:hint="eastAsia" w:ascii="宋体" w:hAnsi="宋体" w:cs="宋体"/>
                <w:b/>
                <w:szCs w:val="24"/>
              </w:rPr>
              <w:t>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Merge w:val="restart"/>
            <w:vAlign w:val="center"/>
          </w:tcPr>
          <w:p>
            <w:pPr>
              <w:widowControl/>
              <w:spacing w:line="540" w:lineRule="exact"/>
              <w:jc w:val="center"/>
              <w:rPr>
                <w:rFonts w:ascii="宋体" w:hAnsi="宋体" w:cs="宋体"/>
                <w:szCs w:val="24"/>
              </w:rPr>
            </w:pPr>
            <w:r>
              <w:rPr>
                <w:rFonts w:hint="eastAsia" w:ascii="宋体" w:hAnsi="宋体" w:cs="宋体"/>
                <w:szCs w:val="24"/>
              </w:rPr>
              <w:t>一年级</w:t>
            </w:r>
          </w:p>
        </w:tc>
        <w:tc>
          <w:tcPr>
            <w:tcW w:w="2551" w:type="dxa"/>
            <w:vAlign w:val="center"/>
          </w:tcPr>
          <w:p>
            <w:pPr>
              <w:widowControl/>
              <w:spacing w:line="540" w:lineRule="exact"/>
              <w:rPr>
                <w:rFonts w:ascii="宋体" w:hAnsi="宋体" w:cs="宋体"/>
                <w:szCs w:val="24"/>
              </w:rPr>
            </w:pPr>
            <w:r>
              <w:rPr>
                <w:rFonts w:hint="eastAsia" w:ascii="宋体" w:hAnsi="宋体" w:cs="宋体"/>
                <w:szCs w:val="24"/>
              </w:rPr>
              <w:t>数学下论文撰写</w:t>
            </w:r>
          </w:p>
        </w:tc>
        <w:tc>
          <w:tcPr>
            <w:tcW w:w="4870" w:type="dxa"/>
            <w:vAlign w:val="center"/>
          </w:tcPr>
          <w:p>
            <w:pPr>
              <w:widowControl/>
              <w:spacing w:line="540" w:lineRule="exact"/>
              <w:rPr>
                <w:rFonts w:ascii="宋体" w:hAnsi="宋体" w:cs="宋体"/>
                <w:szCs w:val="24"/>
              </w:rPr>
            </w:pPr>
            <w:r>
              <w:rPr>
                <w:rFonts w:hint="eastAsia" w:ascii="宋体" w:hAnsi="宋体" w:cs="宋体"/>
                <w:szCs w:val="24"/>
              </w:rPr>
              <w:t>获奖人数占整个学校的1/2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Merge w:val="continue"/>
            <w:vAlign w:val="center"/>
          </w:tcPr>
          <w:p>
            <w:pPr>
              <w:widowControl/>
              <w:spacing w:line="540" w:lineRule="exact"/>
              <w:jc w:val="center"/>
              <w:rPr>
                <w:rFonts w:ascii="宋体" w:hAnsi="宋体" w:cs="宋体"/>
                <w:szCs w:val="24"/>
              </w:rPr>
            </w:pPr>
          </w:p>
        </w:tc>
        <w:tc>
          <w:tcPr>
            <w:tcW w:w="2551" w:type="dxa"/>
            <w:vAlign w:val="center"/>
          </w:tcPr>
          <w:p>
            <w:pPr>
              <w:widowControl/>
              <w:spacing w:line="540" w:lineRule="exact"/>
              <w:rPr>
                <w:rFonts w:ascii="宋体" w:hAnsi="宋体" w:cs="宋体"/>
                <w:szCs w:val="24"/>
              </w:rPr>
            </w:pPr>
            <w:r>
              <w:rPr>
                <w:rFonts w:hint="eastAsia" w:ascii="宋体" w:hAnsi="宋体" w:cs="宋体"/>
                <w:szCs w:val="24"/>
              </w:rPr>
              <w:t>错题本的使用</w:t>
            </w:r>
          </w:p>
        </w:tc>
        <w:tc>
          <w:tcPr>
            <w:tcW w:w="4870" w:type="dxa"/>
            <w:vAlign w:val="center"/>
          </w:tcPr>
          <w:p>
            <w:pPr>
              <w:widowControl/>
              <w:spacing w:line="540" w:lineRule="exact"/>
              <w:rPr>
                <w:rFonts w:ascii="宋体" w:hAnsi="宋体" w:cs="宋体"/>
                <w:szCs w:val="24"/>
              </w:rPr>
            </w:pPr>
            <w:r>
              <w:rPr>
                <w:rFonts w:hint="eastAsia" w:ascii="宋体" w:hAnsi="宋体" w:cs="宋体"/>
                <w:szCs w:val="24"/>
              </w:rPr>
              <w:t>在研究中，有问题，在反思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widowControl/>
              <w:spacing w:line="540" w:lineRule="exact"/>
              <w:jc w:val="center"/>
              <w:rPr>
                <w:rFonts w:ascii="宋体" w:hAnsi="宋体" w:cs="宋体"/>
                <w:szCs w:val="24"/>
              </w:rPr>
            </w:pPr>
            <w:r>
              <w:rPr>
                <w:rFonts w:hint="eastAsia" w:ascii="宋体" w:hAnsi="宋体" w:cs="宋体"/>
                <w:szCs w:val="24"/>
              </w:rPr>
              <w:t>二年级</w:t>
            </w:r>
          </w:p>
        </w:tc>
        <w:tc>
          <w:tcPr>
            <w:tcW w:w="2551" w:type="dxa"/>
            <w:vAlign w:val="center"/>
          </w:tcPr>
          <w:p>
            <w:pPr>
              <w:widowControl/>
              <w:spacing w:line="540" w:lineRule="exact"/>
              <w:rPr>
                <w:rFonts w:ascii="宋体" w:hAnsi="宋体" w:cs="宋体"/>
                <w:szCs w:val="24"/>
              </w:rPr>
            </w:pPr>
            <w:r>
              <w:rPr>
                <w:rFonts w:hint="eastAsia" w:ascii="宋体" w:hAnsi="宋体" w:cs="宋体"/>
                <w:szCs w:val="24"/>
              </w:rPr>
              <w:t>传统板书</w:t>
            </w:r>
          </w:p>
        </w:tc>
        <w:tc>
          <w:tcPr>
            <w:tcW w:w="4870" w:type="dxa"/>
            <w:vAlign w:val="center"/>
          </w:tcPr>
          <w:p>
            <w:pPr>
              <w:widowControl/>
              <w:spacing w:line="540" w:lineRule="exact"/>
              <w:rPr>
                <w:rFonts w:ascii="宋体" w:hAnsi="宋体" w:cs="宋体"/>
                <w:szCs w:val="24"/>
              </w:rPr>
            </w:pPr>
            <w:r>
              <w:rPr>
                <w:rFonts w:hint="eastAsia" w:ascii="宋体" w:hAnsi="宋体" w:cs="宋体"/>
                <w:szCs w:val="24"/>
              </w:rPr>
              <w:t>已经成常态化，形成小课题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widowControl/>
              <w:spacing w:line="540" w:lineRule="exact"/>
              <w:jc w:val="center"/>
              <w:rPr>
                <w:rFonts w:ascii="宋体" w:hAnsi="宋体" w:cs="宋体"/>
                <w:szCs w:val="24"/>
              </w:rPr>
            </w:pPr>
            <w:r>
              <w:rPr>
                <w:rFonts w:hint="eastAsia" w:ascii="宋体" w:hAnsi="宋体" w:cs="宋体"/>
                <w:szCs w:val="24"/>
              </w:rPr>
              <w:t>三年级</w:t>
            </w:r>
          </w:p>
        </w:tc>
        <w:tc>
          <w:tcPr>
            <w:tcW w:w="2551" w:type="dxa"/>
            <w:vAlign w:val="center"/>
          </w:tcPr>
          <w:p>
            <w:pPr>
              <w:widowControl/>
              <w:spacing w:line="540" w:lineRule="exact"/>
              <w:rPr>
                <w:rFonts w:ascii="宋体" w:hAnsi="宋体" w:cs="宋体"/>
                <w:szCs w:val="24"/>
              </w:rPr>
            </w:pPr>
            <w:r>
              <w:rPr>
                <w:rFonts w:hint="eastAsia" w:ascii="宋体" w:hAnsi="宋体" w:cs="宋体"/>
                <w:szCs w:val="24"/>
              </w:rPr>
              <w:t>语言表达的完成</w:t>
            </w:r>
          </w:p>
        </w:tc>
        <w:tc>
          <w:tcPr>
            <w:tcW w:w="4870" w:type="dxa"/>
            <w:vAlign w:val="center"/>
          </w:tcPr>
          <w:p>
            <w:pPr>
              <w:widowControl/>
              <w:spacing w:line="540" w:lineRule="exact"/>
              <w:rPr>
                <w:rFonts w:ascii="宋体" w:hAnsi="宋体" w:cs="宋体"/>
                <w:szCs w:val="24"/>
              </w:rPr>
            </w:pPr>
            <w:r>
              <w:rPr>
                <w:rFonts w:hint="eastAsia" w:ascii="宋体" w:hAnsi="宋体" w:cs="宋体"/>
                <w:szCs w:val="24"/>
              </w:rPr>
              <w:t>已成常态化，将会引导形成小课题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widowControl/>
              <w:spacing w:line="540" w:lineRule="exact"/>
              <w:jc w:val="center"/>
              <w:rPr>
                <w:rFonts w:ascii="宋体" w:hAnsi="宋体" w:cs="宋体"/>
                <w:szCs w:val="24"/>
              </w:rPr>
            </w:pPr>
            <w:r>
              <w:rPr>
                <w:rFonts w:hint="eastAsia" w:ascii="宋体" w:hAnsi="宋体" w:cs="宋体"/>
                <w:szCs w:val="24"/>
              </w:rPr>
              <w:t>四年级</w:t>
            </w:r>
          </w:p>
        </w:tc>
        <w:tc>
          <w:tcPr>
            <w:tcW w:w="2551" w:type="dxa"/>
            <w:vAlign w:val="center"/>
          </w:tcPr>
          <w:p>
            <w:pPr>
              <w:widowControl/>
              <w:spacing w:line="540" w:lineRule="exact"/>
              <w:rPr>
                <w:rFonts w:ascii="宋体" w:hAnsi="宋体" w:cs="宋体"/>
                <w:szCs w:val="24"/>
              </w:rPr>
            </w:pPr>
            <w:r>
              <w:rPr>
                <w:rFonts w:hint="eastAsia" w:ascii="宋体" w:hAnsi="宋体" w:cs="宋体"/>
                <w:szCs w:val="24"/>
              </w:rPr>
              <w:t>分层练习</w:t>
            </w:r>
          </w:p>
        </w:tc>
        <w:tc>
          <w:tcPr>
            <w:tcW w:w="4870" w:type="dxa"/>
            <w:vAlign w:val="center"/>
          </w:tcPr>
          <w:p>
            <w:pPr>
              <w:widowControl/>
              <w:spacing w:line="540" w:lineRule="exact"/>
              <w:rPr>
                <w:rFonts w:ascii="宋体" w:hAnsi="宋体" w:cs="宋体"/>
                <w:szCs w:val="24"/>
              </w:rPr>
            </w:pPr>
            <w:r>
              <w:rPr>
                <w:rFonts w:hint="eastAsia" w:ascii="宋体" w:hAnsi="宋体" w:cs="宋体"/>
                <w:szCs w:val="24"/>
              </w:rPr>
              <w:t>已在导学、平时练习和复习阶段进行了使用，将会引导形成小课题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widowControl/>
              <w:spacing w:line="540" w:lineRule="exact"/>
              <w:jc w:val="center"/>
              <w:rPr>
                <w:rFonts w:ascii="宋体" w:hAnsi="宋体" w:cs="宋体"/>
                <w:szCs w:val="24"/>
              </w:rPr>
            </w:pPr>
            <w:r>
              <w:rPr>
                <w:rFonts w:hint="eastAsia" w:ascii="宋体" w:hAnsi="宋体" w:cs="宋体"/>
                <w:szCs w:val="24"/>
              </w:rPr>
              <w:t>五年级</w:t>
            </w:r>
          </w:p>
        </w:tc>
        <w:tc>
          <w:tcPr>
            <w:tcW w:w="2551" w:type="dxa"/>
            <w:vAlign w:val="center"/>
          </w:tcPr>
          <w:p>
            <w:pPr>
              <w:widowControl/>
              <w:spacing w:line="540" w:lineRule="exact"/>
              <w:rPr>
                <w:rFonts w:ascii="宋体" w:hAnsi="宋体" w:cs="宋体"/>
                <w:szCs w:val="24"/>
              </w:rPr>
            </w:pPr>
            <w:r>
              <w:rPr>
                <w:rFonts w:hint="eastAsia" w:ascii="宋体" w:hAnsi="宋体" w:cs="宋体"/>
                <w:szCs w:val="24"/>
              </w:rPr>
              <w:t>以“分数”为主题的课堂研讨</w:t>
            </w:r>
          </w:p>
        </w:tc>
        <w:tc>
          <w:tcPr>
            <w:tcW w:w="4870" w:type="dxa"/>
            <w:vAlign w:val="center"/>
          </w:tcPr>
          <w:p>
            <w:pPr>
              <w:widowControl/>
              <w:spacing w:line="540" w:lineRule="exact"/>
              <w:rPr>
                <w:rFonts w:ascii="宋体" w:hAnsi="宋体" w:cs="宋体"/>
                <w:szCs w:val="24"/>
              </w:rPr>
            </w:pPr>
            <w:r>
              <w:rPr>
                <w:rFonts w:hint="eastAsia" w:ascii="宋体" w:hAnsi="宋体" w:cs="宋体"/>
                <w:szCs w:val="24"/>
              </w:rPr>
              <w:t>初步形成课堂模型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widowControl/>
              <w:spacing w:line="540" w:lineRule="exact"/>
              <w:jc w:val="center"/>
              <w:rPr>
                <w:rFonts w:ascii="宋体" w:hAnsi="宋体" w:cs="宋体"/>
                <w:szCs w:val="24"/>
              </w:rPr>
            </w:pPr>
            <w:r>
              <w:rPr>
                <w:rFonts w:hint="eastAsia" w:ascii="宋体" w:hAnsi="宋体" w:cs="宋体"/>
                <w:szCs w:val="24"/>
              </w:rPr>
              <w:t>六年级</w:t>
            </w:r>
          </w:p>
        </w:tc>
        <w:tc>
          <w:tcPr>
            <w:tcW w:w="2551" w:type="dxa"/>
            <w:vAlign w:val="center"/>
          </w:tcPr>
          <w:p>
            <w:pPr>
              <w:widowControl/>
              <w:spacing w:line="540" w:lineRule="exact"/>
              <w:rPr>
                <w:rFonts w:ascii="宋体" w:hAnsi="宋体" w:cs="宋体"/>
                <w:szCs w:val="24"/>
              </w:rPr>
            </w:pPr>
            <w:r>
              <w:rPr>
                <w:rFonts w:hint="eastAsia" w:ascii="宋体" w:hAnsi="宋体" w:cs="宋体"/>
                <w:szCs w:val="24"/>
              </w:rPr>
              <w:t>试卷的讲评</w:t>
            </w:r>
          </w:p>
        </w:tc>
        <w:tc>
          <w:tcPr>
            <w:tcW w:w="4870" w:type="dxa"/>
            <w:vAlign w:val="center"/>
          </w:tcPr>
          <w:p>
            <w:pPr>
              <w:widowControl/>
              <w:spacing w:line="540" w:lineRule="exact"/>
              <w:rPr>
                <w:rFonts w:ascii="宋体" w:hAnsi="宋体" w:cs="宋体"/>
                <w:szCs w:val="24"/>
              </w:rPr>
            </w:pPr>
            <w:r>
              <w:rPr>
                <w:rFonts w:hint="eastAsia" w:ascii="宋体" w:hAnsi="宋体" w:cs="宋体"/>
                <w:szCs w:val="24"/>
              </w:rPr>
              <w:t>已形成策略，会引导形成小课题</w:t>
            </w:r>
          </w:p>
        </w:tc>
      </w:tr>
    </w:tbl>
    <w:p>
      <w:pPr>
        <w:snapToGrid w:val="0"/>
        <w:spacing w:line="312" w:lineRule="auto"/>
        <w:ind w:firstLine="482" w:firstLineChars="200"/>
        <w:jc w:val="both"/>
        <w:rPr>
          <w:rFonts w:ascii="宋体" w:hAnsi="宋体" w:cs="Times New Roman"/>
          <w:b/>
          <w:kern w:val="0"/>
          <w:szCs w:val="24"/>
        </w:rPr>
      </w:pPr>
      <w:r>
        <w:rPr>
          <w:rFonts w:hint="eastAsia" w:ascii="宋体" w:hAnsi="宋体" w:cs="Times New Roman"/>
          <w:b/>
          <w:kern w:val="0"/>
          <w:szCs w:val="24"/>
        </w:rPr>
        <w:t>二、潜势分析：</w:t>
      </w:r>
    </w:p>
    <w:p>
      <w:pPr>
        <w:snapToGrid w:val="0"/>
        <w:spacing w:line="312" w:lineRule="auto"/>
        <w:ind w:firstLine="480" w:firstLineChars="200"/>
        <w:jc w:val="both"/>
        <w:rPr>
          <w:rFonts w:ascii="宋体" w:hAnsi="宋体" w:cs="Times New Roman"/>
          <w:bCs/>
          <w:kern w:val="0"/>
          <w:szCs w:val="24"/>
        </w:rPr>
      </w:pPr>
      <w:r>
        <w:rPr>
          <w:rFonts w:hint="eastAsia" w:ascii="宋体" w:hAnsi="宋体" w:cs="Times New Roman"/>
          <w:bCs/>
          <w:kern w:val="0"/>
          <w:szCs w:val="24"/>
        </w:rPr>
        <w:t>在前一年的数学教研工作中，我们取得了一定成绩，但科研能力不够突出，在把理念转化成行为的过程中，更偏重于知识育人，德育、文化育人还需加强。</w:t>
      </w:r>
    </w:p>
    <w:p>
      <w:pPr>
        <w:snapToGrid w:val="0"/>
        <w:spacing w:line="312" w:lineRule="auto"/>
        <w:ind w:firstLine="482" w:firstLineChars="200"/>
        <w:jc w:val="both"/>
        <w:rPr>
          <w:rFonts w:ascii="宋体" w:hAnsi="宋体" w:cs="Times New Roman"/>
          <w:bCs/>
          <w:kern w:val="0"/>
          <w:szCs w:val="24"/>
        </w:rPr>
      </w:pPr>
      <w:r>
        <w:rPr>
          <w:rFonts w:hint="eastAsia" w:ascii="宋体" w:hAnsi="宋体" w:cs="Times New Roman"/>
          <w:b/>
          <w:szCs w:val="24"/>
        </w:rPr>
        <w:t>1.科研能</w:t>
      </w:r>
      <w:r>
        <w:rPr>
          <w:rFonts w:hint="eastAsia" w:ascii="宋体" w:hAnsi="宋体" w:cs="Times New Roman"/>
          <w:b/>
          <w:kern w:val="0"/>
          <w:szCs w:val="24"/>
        </w:rPr>
        <w:t>力：</w:t>
      </w:r>
      <w:r>
        <w:rPr>
          <w:rFonts w:hint="eastAsia" w:ascii="宋体" w:hAnsi="宋体" w:cs="Times New Roman"/>
          <w:bCs/>
          <w:kern w:val="0"/>
          <w:szCs w:val="24"/>
        </w:rPr>
        <w:t>组内每位教师拥有不同的教学特色与能力，都有着进行研究的意愿，也在每个年级形成了小项目进行研究，但研究缺乏整体性，在如何操作、如何综合融通方面很是欠缺。在课题方面，我们二小的老师也是严重缺乏，虽经过一年的努力，目前有5个在研的大小课题，但从过程和进度来看，还是很欠缺。在论文方面，各位年轻老师积极参与撰写，有发表，但质量有待提升。</w:t>
      </w:r>
    </w:p>
    <w:p>
      <w:pPr>
        <w:snapToGrid w:val="0"/>
        <w:spacing w:line="312" w:lineRule="auto"/>
        <w:ind w:firstLine="482" w:firstLineChars="200"/>
        <w:jc w:val="both"/>
        <w:rPr>
          <w:rFonts w:ascii="宋体" w:hAnsi="宋体" w:cs="Times New Roman"/>
          <w:szCs w:val="24"/>
        </w:rPr>
      </w:pPr>
      <w:r>
        <w:rPr>
          <w:rFonts w:hint="eastAsia" w:ascii="宋体" w:hAnsi="宋体" w:cs="Times New Roman"/>
          <w:b/>
          <w:szCs w:val="24"/>
        </w:rPr>
        <w:t>2.专业素养：</w:t>
      </w:r>
      <w:r>
        <w:rPr>
          <w:rFonts w:hint="eastAsia" w:ascii="宋体" w:hAnsi="宋体" w:cs="Times New Roman"/>
          <w:bCs/>
          <w:kern w:val="0"/>
          <w:szCs w:val="24"/>
        </w:rPr>
        <w:t>从教师的独立备课能力，听课后的评课能力反映出来的是我们老师的理论知识还是很缺乏，很多的评课都是泛泛而谈或者老生常谈，没有自己的主见。</w:t>
      </w:r>
      <w:r>
        <w:rPr>
          <w:rFonts w:hint="eastAsia" w:ascii="宋体" w:hAnsi="宋体" w:cs="Times New Roman"/>
          <w:szCs w:val="24"/>
        </w:rPr>
        <w:t>于是我们的实践只能停留在模仿——再模仿，学习——再学习上。归根结底是我们的理论学习欠缺，没有理论的支撑一切都是空谈。其次老师们的独立备课实践缺乏，没有一次次的尝试就不会有一点点的进步。</w:t>
      </w:r>
    </w:p>
    <w:p>
      <w:pPr>
        <w:snapToGrid w:val="0"/>
        <w:spacing w:line="312" w:lineRule="auto"/>
        <w:ind w:firstLine="482" w:firstLineChars="200"/>
        <w:jc w:val="both"/>
        <w:rPr>
          <w:rFonts w:ascii="宋体" w:hAnsi="宋体" w:cs="Times New Roman"/>
          <w:kern w:val="0"/>
          <w:szCs w:val="24"/>
        </w:rPr>
      </w:pPr>
      <w:r>
        <w:rPr>
          <w:rFonts w:hint="eastAsia" w:ascii="宋体" w:hAnsi="宋体" w:cs="Times New Roman"/>
          <w:b/>
          <w:szCs w:val="24"/>
        </w:rPr>
        <w:t>3.学生评价：</w:t>
      </w:r>
      <w:r>
        <w:rPr>
          <w:rFonts w:hint="eastAsia" w:ascii="宋体" w:hAnsi="宋体" w:cs="Times New Roman"/>
          <w:szCs w:val="24"/>
        </w:rPr>
        <w:t>数学老师对于学生的评价往往停留在分数上，特别是中高段的老师。如何能对学生的数学素养做到真正的评价，从哪些方面评，每个方面占比多少，我们应该不同的年段有不同的学科素养表。</w:t>
      </w:r>
    </w:p>
    <w:p>
      <w:pPr>
        <w:pStyle w:val="11"/>
        <w:numPr>
          <w:ilvl w:val="0"/>
          <w:numId w:val="1"/>
        </w:numPr>
        <w:spacing w:line="312" w:lineRule="auto"/>
        <w:ind w:firstLineChars="0"/>
        <w:rPr>
          <w:rFonts w:ascii="宋体" w:hAnsi="宋体"/>
          <w:b/>
          <w:color w:val="0070C0"/>
          <w:szCs w:val="24"/>
        </w:rPr>
      </w:pPr>
      <w:r>
        <w:rPr>
          <w:rFonts w:hint="eastAsia" w:ascii="宋体" w:hAnsi="宋体"/>
          <w:b/>
          <w:color w:val="0070C0"/>
          <w:szCs w:val="24"/>
        </w:rPr>
        <w:t>发展目标及文化定位</w:t>
      </w:r>
    </w:p>
    <w:p>
      <w:pPr>
        <w:snapToGrid w:val="0"/>
        <w:spacing w:line="312" w:lineRule="auto"/>
        <w:jc w:val="both"/>
        <w:rPr>
          <w:rFonts w:ascii="宋体" w:hAnsi="宋体" w:cs="Times New Roman"/>
          <w:szCs w:val="21"/>
        </w:rPr>
      </w:pPr>
      <w:r>
        <w:rPr>
          <w:rFonts w:hint="eastAsia" w:ascii="宋体" w:hAnsi="宋体" w:cs="Times New Roman"/>
          <w:szCs w:val="21"/>
        </w:rPr>
        <w:t>（一）学科组发展目标：</w:t>
      </w:r>
    </w:p>
    <w:p>
      <w:pPr>
        <w:snapToGrid w:val="0"/>
        <w:spacing w:line="312" w:lineRule="auto"/>
        <w:ind w:firstLine="240" w:firstLineChars="100"/>
        <w:jc w:val="both"/>
        <w:rPr>
          <w:rFonts w:ascii="宋体" w:hAnsi="宋体" w:cs="Times New Roman"/>
          <w:szCs w:val="21"/>
        </w:rPr>
      </w:pPr>
      <w:r>
        <w:rPr>
          <w:rFonts w:hint="eastAsia" w:ascii="宋体" w:hAnsi="宋体" w:cs="Times New Roman"/>
          <w:szCs w:val="21"/>
        </w:rPr>
        <w:t>1．以“重点事件”为抓手，促进学校品质提升。学科组教师立足课堂教学，丰厚课程认识，拓展学科视野，提升教师课程领导力。为20</w:t>
      </w:r>
      <w:r>
        <w:rPr>
          <w:rFonts w:ascii="宋体" w:hAnsi="宋体" w:cs="Times New Roman"/>
          <w:szCs w:val="21"/>
        </w:rPr>
        <w:t>20</w:t>
      </w:r>
      <w:r>
        <w:rPr>
          <w:rFonts w:hint="eastAsia" w:ascii="宋体" w:hAnsi="宋体" w:cs="Times New Roman"/>
          <w:szCs w:val="21"/>
        </w:rPr>
        <w:t xml:space="preserve">年下半年在市、区五级梯队评选做好准备。 </w:t>
      </w:r>
    </w:p>
    <w:p>
      <w:pPr>
        <w:snapToGrid w:val="0"/>
        <w:spacing w:line="312" w:lineRule="auto"/>
        <w:ind w:firstLine="240" w:firstLineChars="100"/>
        <w:jc w:val="both"/>
        <w:rPr>
          <w:rFonts w:ascii="宋体" w:hAnsi="宋体" w:cs="Times New Roman"/>
          <w:szCs w:val="21"/>
        </w:rPr>
      </w:pPr>
      <w:r>
        <w:rPr>
          <w:rFonts w:ascii="宋体" w:hAnsi="宋体" w:cs="Times New Roman"/>
          <w:szCs w:val="21"/>
        </w:rPr>
        <w:t>2</w:t>
      </w:r>
      <w:r>
        <w:rPr>
          <w:rFonts w:hint="eastAsia" w:ascii="宋体" w:hAnsi="宋体" w:cs="Times New Roman"/>
          <w:szCs w:val="21"/>
        </w:rPr>
        <w:t xml:space="preserve">．以追寻“弘雅数学课堂”（向美、挑战、生长）为突破，激活教师发展内需。以培养“文雅、智慧、坚韧”学生为追求，不断形成学习新常规。 </w:t>
      </w:r>
    </w:p>
    <w:p>
      <w:pPr>
        <w:snapToGrid w:val="0"/>
        <w:spacing w:line="312" w:lineRule="auto"/>
        <w:ind w:firstLine="240" w:firstLineChars="100"/>
        <w:jc w:val="both"/>
        <w:rPr>
          <w:rFonts w:ascii="宋体" w:hAnsi="宋体" w:cs="Times New Roman"/>
          <w:szCs w:val="21"/>
        </w:rPr>
      </w:pPr>
      <w:r>
        <w:rPr>
          <w:rFonts w:hint="eastAsia" w:ascii="宋体" w:hAnsi="宋体" w:cs="Times New Roman"/>
          <w:szCs w:val="21"/>
        </w:rPr>
        <w:t>3</w:t>
      </w:r>
      <w:r>
        <w:rPr>
          <w:rFonts w:ascii="宋体" w:hAnsi="宋体" w:cs="Times New Roman"/>
          <w:szCs w:val="21"/>
        </w:rPr>
        <w:t>.</w:t>
      </w:r>
      <w:r>
        <w:rPr>
          <w:rFonts w:hint="eastAsia" w:ascii="宋体" w:hAnsi="宋体" w:cs="Times New Roman"/>
          <w:szCs w:val="21"/>
        </w:rPr>
        <w:t>打造一支团队协作、积极向上、以自我会更新为取向的民主型、学习型、研究型、反思型和合作型教师团队。向常州市中小学优秀教研组的要去靠齐。</w:t>
      </w:r>
    </w:p>
    <w:p>
      <w:pPr>
        <w:snapToGrid w:val="0"/>
        <w:spacing w:line="312" w:lineRule="auto"/>
        <w:jc w:val="both"/>
        <w:rPr>
          <w:rFonts w:ascii="宋体" w:hAnsi="宋体" w:cs="Times New Roman"/>
          <w:szCs w:val="21"/>
        </w:rPr>
      </w:pPr>
      <w:r>
        <w:rPr>
          <w:rFonts w:hint="eastAsia" w:ascii="宋体" w:hAnsi="宋体" w:cs="Times New Roman"/>
          <w:szCs w:val="21"/>
        </w:rPr>
        <w:t>（二）学科组文化定位——</w:t>
      </w:r>
      <w:r>
        <w:rPr>
          <w:rFonts w:hint="eastAsia" w:ascii="宋体" w:hAnsi="宋体" w:cs="宋体"/>
          <w:szCs w:val="24"/>
        </w:rPr>
        <w:t>“真”的平台；“动”的舞台</w:t>
      </w:r>
      <w:r>
        <w:rPr>
          <w:rFonts w:hint="eastAsia" w:ascii="宋体" w:hAnsi="宋体" w:cs="Times New Roman"/>
          <w:szCs w:val="21"/>
        </w:rPr>
        <w:t>。</w:t>
      </w:r>
    </w:p>
    <w:p>
      <w:pPr>
        <w:snapToGrid w:val="0"/>
        <w:spacing w:line="312" w:lineRule="auto"/>
        <w:ind w:firstLine="480" w:firstLineChars="200"/>
        <w:jc w:val="both"/>
        <w:rPr>
          <w:rFonts w:ascii="宋体" w:hAnsi="宋体" w:cs="宋体"/>
          <w:szCs w:val="24"/>
        </w:rPr>
      </w:pPr>
      <w:r>
        <w:rPr>
          <w:rFonts w:hint="eastAsia" w:ascii="宋体" w:hAnsi="宋体" w:cs="宋体"/>
          <w:szCs w:val="24"/>
        </w:rPr>
        <w:t>我们有“真”的平台：开展真实践，明晰真路径，建设真项目，寻求真策略；</w:t>
      </w:r>
    </w:p>
    <w:p>
      <w:pPr>
        <w:snapToGrid w:val="0"/>
        <w:spacing w:line="312" w:lineRule="auto"/>
        <w:ind w:firstLine="480" w:firstLineChars="200"/>
        <w:jc w:val="both"/>
        <w:rPr>
          <w:rFonts w:ascii="宋体" w:hAnsi="宋体" w:cs="Times New Roman"/>
          <w:szCs w:val="21"/>
        </w:rPr>
      </w:pPr>
      <w:r>
        <w:rPr>
          <w:rFonts w:hint="eastAsia" w:ascii="宋体" w:hAnsi="宋体" w:cs="宋体"/>
          <w:szCs w:val="24"/>
        </w:rPr>
        <w:t>我们有“动”的舞台：灵动的课堂，生动的分享，互动的交往，能动的创想。</w:t>
      </w:r>
    </w:p>
    <w:p>
      <w:pPr>
        <w:snapToGrid w:val="0"/>
        <w:spacing w:line="312" w:lineRule="auto"/>
        <w:jc w:val="both"/>
        <w:rPr>
          <w:rFonts w:ascii="宋体" w:hAnsi="宋体" w:cs="Times New Roman"/>
          <w:szCs w:val="21"/>
        </w:rPr>
      </w:pPr>
      <w:r>
        <w:rPr>
          <w:rFonts w:hint="eastAsia" w:ascii="宋体" w:hAnsi="宋体" w:cs="Times New Roman"/>
          <w:szCs w:val="21"/>
        </w:rPr>
        <w:t>（三）教师梯队建设目标：</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1275"/>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84" w:type="dxa"/>
          </w:tcPr>
          <w:p>
            <w:pPr>
              <w:snapToGrid w:val="0"/>
              <w:spacing w:line="312" w:lineRule="auto"/>
              <w:jc w:val="both"/>
              <w:rPr>
                <w:rFonts w:ascii="宋体" w:hAnsi="宋体" w:cs="Times New Roman"/>
                <w:kern w:val="0"/>
                <w:szCs w:val="21"/>
              </w:rPr>
            </w:pPr>
            <w:r>
              <w:rPr>
                <w:rFonts w:hint="eastAsia" w:ascii="宋体" w:hAnsi="宋体" w:cs="Times New Roman"/>
                <w:kern w:val="0"/>
                <w:szCs w:val="21"/>
              </w:rPr>
              <w:t>梯队建设</w:t>
            </w:r>
          </w:p>
        </w:tc>
        <w:tc>
          <w:tcPr>
            <w:tcW w:w="1418" w:type="dxa"/>
          </w:tcPr>
          <w:p>
            <w:pPr>
              <w:snapToGrid w:val="0"/>
              <w:spacing w:line="312" w:lineRule="auto"/>
              <w:jc w:val="both"/>
              <w:rPr>
                <w:rFonts w:ascii="宋体" w:hAnsi="宋体" w:cs="Times New Roman"/>
                <w:kern w:val="0"/>
                <w:szCs w:val="21"/>
              </w:rPr>
            </w:pPr>
            <w:r>
              <w:rPr>
                <w:rFonts w:hint="eastAsia" w:ascii="宋体" w:hAnsi="宋体" w:cs="Times New Roman"/>
                <w:kern w:val="0"/>
                <w:szCs w:val="21"/>
              </w:rPr>
              <w:t>总目标</w:t>
            </w:r>
          </w:p>
        </w:tc>
        <w:tc>
          <w:tcPr>
            <w:tcW w:w="1275" w:type="dxa"/>
          </w:tcPr>
          <w:p>
            <w:pPr>
              <w:snapToGrid w:val="0"/>
              <w:spacing w:line="312" w:lineRule="auto"/>
              <w:jc w:val="both"/>
              <w:rPr>
                <w:rFonts w:ascii="宋体" w:hAnsi="宋体" w:cs="Times New Roman"/>
                <w:kern w:val="0"/>
                <w:szCs w:val="21"/>
              </w:rPr>
            </w:pPr>
            <w:r>
              <w:rPr>
                <w:rFonts w:hint="eastAsia" w:ascii="宋体" w:hAnsi="宋体" w:cs="Times New Roman"/>
                <w:kern w:val="0"/>
                <w:szCs w:val="21"/>
              </w:rPr>
              <w:t>目标语</w:t>
            </w:r>
          </w:p>
        </w:tc>
        <w:tc>
          <w:tcPr>
            <w:tcW w:w="5777" w:type="dxa"/>
          </w:tcPr>
          <w:p>
            <w:pPr>
              <w:snapToGrid w:val="0"/>
              <w:spacing w:line="312" w:lineRule="auto"/>
              <w:jc w:val="both"/>
              <w:rPr>
                <w:rFonts w:ascii="宋体" w:hAnsi="宋体" w:cs="Times New Roman"/>
                <w:kern w:val="0"/>
                <w:szCs w:val="21"/>
              </w:rPr>
            </w:pPr>
            <w:r>
              <w:rPr>
                <w:rFonts w:hint="eastAsia" w:ascii="宋体" w:hAnsi="宋体" w:cs="Times New Roman"/>
                <w:kern w:val="0"/>
                <w:szCs w:val="21"/>
              </w:rPr>
              <w:t>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84" w:type="dxa"/>
          </w:tcPr>
          <w:p>
            <w:pPr>
              <w:snapToGrid w:val="0"/>
              <w:spacing w:line="312" w:lineRule="auto"/>
              <w:jc w:val="both"/>
              <w:rPr>
                <w:rFonts w:ascii="宋体" w:hAnsi="宋体" w:cs="Times New Roman"/>
                <w:kern w:val="0"/>
                <w:szCs w:val="21"/>
              </w:rPr>
            </w:pPr>
            <w:r>
              <w:rPr>
                <w:rFonts w:hint="eastAsia" w:ascii="宋体" w:hAnsi="宋体" w:cs="Times New Roman"/>
                <w:kern w:val="0"/>
                <w:szCs w:val="21"/>
              </w:rPr>
              <w:t>第一梯队</w:t>
            </w:r>
          </w:p>
        </w:tc>
        <w:tc>
          <w:tcPr>
            <w:tcW w:w="1418" w:type="dxa"/>
          </w:tcPr>
          <w:p>
            <w:pPr>
              <w:snapToGrid w:val="0"/>
              <w:spacing w:line="312" w:lineRule="auto"/>
              <w:jc w:val="both"/>
              <w:rPr>
                <w:rFonts w:ascii="宋体" w:hAnsi="宋体" w:cs="Times New Roman"/>
                <w:kern w:val="0"/>
                <w:szCs w:val="21"/>
              </w:rPr>
            </w:pPr>
            <w:r>
              <w:rPr>
                <w:rFonts w:hint="eastAsia" w:ascii="宋体" w:hAnsi="宋体" w:cs="Times New Roman"/>
                <w:kern w:val="0"/>
                <w:szCs w:val="21"/>
              </w:rPr>
              <w:t>研究型教师</w:t>
            </w:r>
          </w:p>
        </w:tc>
        <w:tc>
          <w:tcPr>
            <w:tcW w:w="1275" w:type="dxa"/>
          </w:tcPr>
          <w:p>
            <w:pPr>
              <w:snapToGrid w:val="0"/>
              <w:spacing w:line="312" w:lineRule="auto"/>
              <w:jc w:val="both"/>
              <w:rPr>
                <w:rFonts w:ascii="宋体" w:hAnsi="宋体" w:cs="Times New Roman"/>
                <w:kern w:val="0"/>
                <w:szCs w:val="21"/>
              </w:rPr>
            </w:pPr>
            <w:r>
              <w:rPr>
                <w:rFonts w:hint="eastAsia" w:ascii="宋体" w:hAnsi="宋体" w:cs="Times New Roman"/>
                <w:kern w:val="0"/>
                <w:szCs w:val="21"/>
              </w:rPr>
              <w:t xml:space="preserve">博采众长 </w:t>
            </w:r>
          </w:p>
          <w:p>
            <w:pPr>
              <w:snapToGrid w:val="0"/>
              <w:spacing w:line="312" w:lineRule="auto"/>
              <w:jc w:val="both"/>
              <w:rPr>
                <w:rFonts w:ascii="宋体" w:hAnsi="宋体" w:cs="Times New Roman"/>
                <w:kern w:val="0"/>
                <w:szCs w:val="21"/>
              </w:rPr>
            </w:pPr>
            <w:r>
              <w:rPr>
                <w:rFonts w:hint="eastAsia" w:ascii="宋体" w:hAnsi="宋体" w:cs="Times New Roman"/>
                <w:kern w:val="0"/>
                <w:szCs w:val="21"/>
              </w:rPr>
              <w:t>精益求精</w:t>
            </w:r>
          </w:p>
          <w:p>
            <w:pPr>
              <w:snapToGrid w:val="0"/>
              <w:spacing w:line="312" w:lineRule="auto"/>
              <w:jc w:val="both"/>
              <w:rPr>
                <w:rFonts w:ascii="宋体" w:hAnsi="宋体" w:cs="Times New Roman"/>
                <w:kern w:val="0"/>
                <w:szCs w:val="21"/>
              </w:rPr>
            </w:pPr>
            <w:r>
              <w:rPr>
                <w:rFonts w:hint="eastAsia" w:ascii="宋体" w:hAnsi="宋体" w:cs="Times New Roman"/>
                <w:kern w:val="0"/>
                <w:szCs w:val="21"/>
              </w:rPr>
              <w:t xml:space="preserve">焕发活力 </w:t>
            </w:r>
          </w:p>
          <w:p>
            <w:pPr>
              <w:snapToGrid w:val="0"/>
              <w:spacing w:line="312" w:lineRule="auto"/>
              <w:jc w:val="both"/>
              <w:rPr>
                <w:rFonts w:ascii="宋体" w:hAnsi="宋体" w:cs="Times New Roman"/>
                <w:kern w:val="0"/>
                <w:szCs w:val="21"/>
              </w:rPr>
            </w:pPr>
            <w:r>
              <w:rPr>
                <w:rFonts w:hint="eastAsia" w:ascii="宋体" w:hAnsi="宋体" w:cs="Times New Roman"/>
                <w:kern w:val="0"/>
                <w:szCs w:val="21"/>
              </w:rPr>
              <w:t>超越自我</w:t>
            </w:r>
          </w:p>
        </w:tc>
        <w:tc>
          <w:tcPr>
            <w:tcW w:w="5777" w:type="dxa"/>
          </w:tcPr>
          <w:p>
            <w:pPr>
              <w:snapToGrid w:val="0"/>
              <w:spacing w:line="312" w:lineRule="auto"/>
              <w:jc w:val="both"/>
              <w:rPr>
                <w:rFonts w:ascii="宋体" w:hAnsi="宋体" w:cs="Times New Roman"/>
                <w:kern w:val="0"/>
                <w:szCs w:val="21"/>
              </w:rPr>
            </w:pPr>
            <w:r>
              <w:rPr>
                <w:rFonts w:hint="eastAsia" w:ascii="宋体" w:hAnsi="宋体" w:cs="Times New Roman"/>
                <w:kern w:val="0"/>
                <w:szCs w:val="21"/>
              </w:rPr>
              <w:t>以“新基础”教育理论，支撑实践能力；增强管理意识，做好骨干教师的引领和辐射作用；深入课题研究，变教师单一、局部、简单的思维方式为综合、整体的思维方式。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84" w:type="dxa"/>
          </w:tcPr>
          <w:p>
            <w:pPr>
              <w:snapToGrid w:val="0"/>
              <w:spacing w:line="312" w:lineRule="auto"/>
              <w:jc w:val="both"/>
              <w:rPr>
                <w:rFonts w:ascii="宋体" w:hAnsi="宋体" w:cs="Times New Roman"/>
                <w:kern w:val="0"/>
                <w:szCs w:val="21"/>
              </w:rPr>
            </w:pPr>
            <w:r>
              <w:rPr>
                <w:rFonts w:hint="eastAsia" w:ascii="宋体" w:hAnsi="宋体" w:cs="Times New Roman"/>
                <w:kern w:val="0"/>
                <w:szCs w:val="21"/>
              </w:rPr>
              <w:t>第二梯队</w:t>
            </w:r>
          </w:p>
        </w:tc>
        <w:tc>
          <w:tcPr>
            <w:tcW w:w="1418" w:type="dxa"/>
          </w:tcPr>
          <w:p>
            <w:pPr>
              <w:snapToGrid w:val="0"/>
              <w:spacing w:line="312" w:lineRule="auto"/>
              <w:jc w:val="both"/>
              <w:rPr>
                <w:rFonts w:ascii="宋体" w:hAnsi="宋体" w:cs="Times New Roman"/>
                <w:kern w:val="0"/>
                <w:szCs w:val="21"/>
              </w:rPr>
            </w:pPr>
            <w:r>
              <w:rPr>
                <w:rFonts w:hint="eastAsia" w:ascii="宋体" w:hAnsi="宋体" w:cs="Times New Roman"/>
                <w:kern w:val="0"/>
                <w:szCs w:val="21"/>
              </w:rPr>
              <w:t>成熟型教师</w:t>
            </w:r>
          </w:p>
        </w:tc>
        <w:tc>
          <w:tcPr>
            <w:tcW w:w="1275" w:type="dxa"/>
          </w:tcPr>
          <w:p>
            <w:pPr>
              <w:snapToGrid w:val="0"/>
              <w:spacing w:line="312" w:lineRule="auto"/>
              <w:jc w:val="both"/>
              <w:rPr>
                <w:rFonts w:ascii="宋体" w:hAnsi="宋体" w:cs="Times New Roman"/>
                <w:kern w:val="0"/>
                <w:szCs w:val="21"/>
              </w:rPr>
            </w:pPr>
            <w:r>
              <w:rPr>
                <w:rFonts w:hint="eastAsia" w:ascii="宋体" w:hAnsi="宋体" w:cs="Times New Roman"/>
                <w:kern w:val="0"/>
                <w:szCs w:val="21"/>
              </w:rPr>
              <w:t xml:space="preserve">研修进取 勇于实践 </w:t>
            </w:r>
          </w:p>
        </w:tc>
        <w:tc>
          <w:tcPr>
            <w:tcW w:w="5777" w:type="dxa"/>
          </w:tcPr>
          <w:p>
            <w:pPr>
              <w:snapToGrid w:val="0"/>
              <w:spacing w:line="312" w:lineRule="auto"/>
              <w:jc w:val="both"/>
              <w:rPr>
                <w:rFonts w:ascii="宋体" w:hAnsi="宋体" w:cs="Times New Roman"/>
                <w:kern w:val="0"/>
                <w:szCs w:val="21"/>
              </w:rPr>
            </w:pPr>
            <w:r>
              <w:rPr>
                <w:rFonts w:hint="eastAsia" w:ascii="宋体" w:hAnsi="宋体" w:cs="Times New Roman"/>
                <w:kern w:val="0"/>
                <w:szCs w:val="21"/>
              </w:rPr>
              <w:t>提升对潘院《教材化解读》的学习和理解，提高解读教材、逻辑把握教材的能力，有效整合教学内容，积极进行课堂实践。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84" w:type="dxa"/>
          </w:tcPr>
          <w:p>
            <w:pPr>
              <w:snapToGrid w:val="0"/>
              <w:spacing w:line="312" w:lineRule="auto"/>
              <w:jc w:val="both"/>
              <w:rPr>
                <w:rFonts w:ascii="宋体" w:hAnsi="宋体" w:cs="Times New Roman"/>
                <w:kern w:val="0"/>
                <w:szCs w:val="21"/>
              </w:rPr>
            </w:pPr>
            <w:r>
              <w:rPr>
                <w:rFonts w:hint="eastAsia" w:ascii="宋体" w:hAnsi="宋体" w:cs="Times New Roman"/>
                <w:kern w:val="0"/>
                <w:szCs w:val="21"/>
              </w:rPr>
              <w:t>第三梯队</w:t>
            </w:r>
          </w:p>
        </w:tc>
        <w:tc>
          <w:tcPr>
            <w:tcW w:w="1418" w:type="dxa"/>
          </w:tcPr>
          <w:p>
            <w:pPr>
              <w:snapToGrid w:val="0"/>
              <w:spacing w:line="312" w:lineRule="auto"/>
              <w:jc w:val="both"/>
              <w:rPr>
                <w:rFonts w:ascii="宋体" w:hAnsi="宋体" w:cs="Times New Roman"/>
                <w:kern w:val="0"/>
                <w:szCs w:val="21"/>
              </w:rPr>
            </w:pPr>
            <w:r>
              <w:rPr>
                <w:rFonts w:hint="eastAsia" w:ascii="宋体" w:hAnsi="宋体" w:cs="Times New Roman"/>
                <w:kern w:val="0"/>
                <w:szCs w:val="21"/>
              </w:rPr>
              <w:t>发展型教师</w:t>
            </w:r>
          </w:p>
        </w:tc>
        <w:tc>
          <w:tcPr>
            <w:tcW w:w="1275" w:type="dxa"/>
          </w:tcPr>
          <w:p>
            <w:pPr>
              <w:snapToGrid w:val="0"/>
              <w:spacing w:line="312" w:lineRule="auto"/>
              <w:jc w:val="both"/>
              <w:rPr>
                <w:rFonts w:ascii="宋体" w:hAnsi="宋体" w:cs="Times New Roman"/>
                <w:kern w:val="0"/>
                <w:szCs w:val="21"/>
              </w:rPr>
            </w:pPr>
            <w:r>
              <w:rPr>
                <w:rFonts w:hint="eastAsia" w:ascii="宋体" w:hAnsi="宋体" w:cs="Times New Roman"/>
                <w:kern w:val="0"/>
                <w:szCs w:val="21"/>
              </w:rPr>
              <w:t>站稳讲台 积极学习</w:t>
            </w:r>
          </w:p>
        </w:tc>
        <w:tc>
          <w:tcPr>
            <w:tcW w:w="5777" w:type="dxa"/>
          </w:tcPr>
          <w:p>
            <w:pPr>
              <w:snapToGrid w:val="0"/>
              <w:spacing w:line="312" w:lineRule="auto"/>
              <w:jc w:val="both"/>
              <w:rPr>
                <w:rFonts w:ascii="宋体" w:hAnsi="宋体" w:cs="Times New Roman"/>
                <w:kern w:val="0"/>
                <w:szCs w:val="21"/>
              </w:rPr>
            </w:pPr>
            <w:r>
              <w:rPr>
                <w:rFonts w:hint="eastAsia" w:ascii="宋体" w:hAnsi="宋体" w:cs="Times New Roman"/>
                <w:kern w:val="0"/>
                <w:szCs w:val="21"/>
              </w:rPr>
              <w:t>在师傅、组员的指导帮助下，慢慢体会“新基础”教育思想，潘院的教材解读方法，融教育思想到课堂实践中，实现自我学习、自主发展。</w:t>
            </w:r>
          </w:p>
        </w:tc>
      </w:tr>
    </w:tbl>
    <w:p>
      <w:pPr>
        <w:snapToGrid w:val="0"/>
        <w:spacing w:line="312" w:lineRule="auto"/>
        <w:jc w:val="both"/>
        <w:rPr>
          <w:rFonts w:ascii="宋体" w:hAnsi="宋体" w:cs="Times New Roman"/>
          <w:b/>
          <w:kern w:val="0"/>
          <w:szCs w:val="24"/>
        </w:rPr>
      </w:pPr>
    </w:p>
    <w:p>
      <w:pPr>
        <w:pStyle w:val="11"/>
        <w:numPr>
          <w:ilvl w:val="0"/>
          <w:numId w:val="1"/>
        </w:numPr>
        <w:spacing w:line="312" w:lineRule="auto"/>
        <w:ind w:firstLineChars="0"/>
        <w:rPr>
          <w:rFonts w:ascii="宋体" w:hAnsi="宋体"/>
          <w:b/>
          <w:color w:val="0070C0"/>
          <w:szCs w:val="24"/>
        </w:rPr>
      </w:pPr>
      <w:r>
        <w:rPr>
          <w:rFonts w:hint="eastAsia" w:ascii="宋体" w:hAnsi="宋体"/>
          <w:b/>
          <w:color w:val="0070C0"/>
          <w:szCs w:val="24"/>
        </w:rPr>
        <w:t>重点内容及重点事件</w:t>
      </w:r>
    </w:p>
    <w:p>
      <w:pPr>
        <w:spacing w:line="312" w:lineRule="auto"/>
        <w:ind w:firstLine="480" w:firstLineChars="200"/>
        <w:rPr>
          <w:rFonts w:ascii="宋体" w:hAnsi="宋体"/>
          <w:b/>
          <w:color w:val="0070C0"/>
          <w:szCs w:val="24"/>
        </w:rPr>
      </w:pPr>
      <w:r>
        <w:rPr>
          <w:rFonts w:hint="eastAsia" w:ascii="宋体" w:hAnsi="宋体" w:cs="Times New Roman"/>
          <w:bCs/>
          <w:kern w:val="0"/>
          <w:szCs w:val="24"/>
        </w:rPr>
        <w:t>对于本学年的重点实施内容，做以下的规划：</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napToGrid w:val="0"/>
              <w:spacing w:line="312" w:lineRule="auto"/>
              <w:jc w:val="both"/>
              <w:rPr>
                <w:rFonts w:ascii="宋体" w:hAnsi="宋体" w:cs="Times New Roman"/>
                <w:bCs/>
                <w:kern w:val="0"/>
                <w:szCs w:val="24"/>
              </w:rPr>
            </w:pPr>
            <w:r>
              <w:rPr>
                <w:rFonts w:hint="eastAsia" w:ascii="宋体" w:hAnsi="宋体" w:cs="Times New Roman"/>
                <w:bCs/>
                <w:kern w:val="0"/>
                <w:szCs w:val="24"/>
              </w:rPr>
              <w:t>2</w:t>
            </w:r>
            <w:r>
              <w:rPr>
                <w:rFonts w:ascii="宋体" w:hAnsi="宋体" w:cs="Times New Roman"/>
                <w:bCs/>
                <w:kern w:val="0"/>
                <w:szCs w:val="24"/>
              </w:rPr>
              <w:t>019</w:t>
            </w:r>
            <w:r>
              <w:rPr>
                <w:rFonts w:hint="eastAsia" w:ascii="宋体" w:hAnsi="宋体" w:cs="Times New Roman"/>
                <w:bCs/>
                <w:kern w:val="0"/>
                <w:szCs w:val="24"/>
              </w:rPr>
              <w:t>-</w:t>
            </w:r>
            <w:r>
              <w:rPr>
                <w:rFonts w:ascii="宋体" w:hAnsi="宋体" w:cs="Times New Roman"/>
                <w:bCs/>
                <w:kern w:val="0"/>
                <w:szCs w:val="24"/>
              </w:rPr>
              <w:t>2020</w:t>
            </w:r>
            <w:r>
              <w:rPr>
                <w:rFonts w:hint="eastAsia" w:ascii="宋体" w:hAnsi="宋体" w:cs="Times New Roman"/>
                <w:bCs/>
                <w:kern w:val="0"/>
                <w:szCs w:val="24"/>
              </w:rPr>
              <w:t>学年度年第二学期</w:t>
            </w:r>
          </w:p>
        </w:tc>
        <w:tc>
          <w:tcPr>
            <w:tcW w:w="7903" w:type="dxa"/>
          </w:tcPr>
          <w:p>
            <w:pPr>
              <w:numPr>
                <w:ilvl w:val="0"/>
                <w:numId w:val="2"/>
              </w:numPr>
              <w:snapToGrid w:val="0"/>
              <w:spacing w:line="312" w:lineRule="auto"/>
              <w:jc w:val="both"/>
              <w:rPr>
                <w:rFonts w:ascii="宋体" w:hAnsi="宋体" w:cs="Times New Roman"/>
                <w:bCs/>
                <w:kern w:val="0"/>
                <w:szCs w:val="24"/>
              </w:rPr>
            </w:pPr>
            <w:r>
              <w:rPr>
                <w:rFonts w:hint="eastAsia" w:ascii="宋体" w:hAnsi="宋体" w:cs="Times New Roman"/>
                <w:bCs/>
                <w:kern w:val="0"/>
                <w:szCs w:val="24"/>
              </w:rPr>
              <w:t>教材理解与设计；2.数字化教学日常化3</w:t>
            </w:r>
            <w:r>
              <w:rPr>
                <w:rFonts w:ascii="宋体" w:hAnsi="宋体" w:cs="Times New Roman"/>
                <w:bCs/>
                <w:kern w:val="0"/>
                <w:szCs w:val="24"/>
              </w:rPr>
              <w:t>.</w:t>
            </w:r>
            <w:r>
              <w:rPr>
                <w:rFonts w:hint="eastAsia" w:ascii="宋体" w:hAnsi="宋体" w:cs="Times New Roman"/>
                <w:bCs/>
                <w:kern w:val="0"/>
                <w:szCs w:val="24"/>
              </w:rPr>
              <w:t xml:space="preserve">课堂教学研究； </w:t>
            </w:r>
          </w:p>
          <w:p>
            <w:pPr>
              <w:snapToGrid w:val="0"/>
              <w:spacing w:line="312" w:lineRule="auto"/>
              <w:jc w:val="both"/>
              <w:rPr>
                <w:rFonts w:ascii="宋体" w:hAnsi="宋体" w:cs="Times New Roman"/>
                <w:bCs/>
                <w:kern w:val="0"/>
                <w:szCs w:val="24"/>
              </w:rPr>
            </w:pPr>
            <w:r>
              <w:rPr>
                <w:rFonts w:hint="eastAsia" w:ascii="宋体" w:hAnsi="宋体" w:cs="Times New Roman"/>
                <w:bCs/>
                <w:kern w:val="0"/>
                <w:szCs w:val="24"/>
              </w:rPr>
              <w:t>4</w:t>
            </w:r>
            <w:r>
              <w:rPr>
                <w:rFonts w:ascii="宋体" w:hAnsi="宋体" w:cs="Times New Roman"/>
                <w:bCs/>
                <w:kern w:val="0"/>
                <w:szCs w:val="24"/>
              </w:rPr>
              <w:t>.</w:t>
            </w:r>
            <w:r>
              <w:rPr>
                <w:rFonts w:hint="eastAsia" w:ascii="宋体" w:hAnsi="宋体" w:cs="Times New Roman"/>
                <w:bCs/>
                <w:kern w:val="0"/>
                <w:szCs w:val="24"/>
              </w:rPr>
              <w:t>课标理论学习；5</w:t>
            </w:r>
            <w:r>
              <w:rPr>
                <w:rFonts w:ascii="宋体" w:hAnsi="宋体" w:cs="Times New Roman"/>
                <w:bCs/>
                <w:kern w:val="0"/>
                <w:szCs w:val="24"/>
              </w:rPr>
              <w:t>.</w:t>
            </w:r>
            <w:r>
              <w:rPr>
                <w:rFonts w:hint="eastAsia" w:ascii="宋体" w:hAnsi="宋体" w:cs="Times New Roman"/>
                <w:bCs/>
                <w:kern w:val="0"/>
                <w:szCs w:val="24"/>
              </w:rPr>
              <w:t>教学分析类文章撰写。</w:t>
            </w:r>
          </w:p>
        </w:tc>
      </w:tr>
    </w:tbl>
    <w:p>
      <w:pPr>
        <w:spacing w:line="312" w:lineRule="auto"/>
        <w:jc w:val="center"/>
      </w:pPr>
      <w:r>
        <w:rPr>
          <w:rFonts w:hint="eastAsia"/>
        </w:rPr>
        <w:t>2</w:t>
      </w:r>
      <w:r>
        <w:t>0</w:t>
      </w:r>
      <w:r>
        <w:rPr>
          <w:rFonts w:hint="eastAsia"/>
        </w:rPr>
        <w:t>20-</w:t>
      </w:r>
      <w:r>
        <w:t>202</w:t>
      </w:r>
      <w:r>
        <w:rPr>
          <w:rFonts w:hint="eastAsia"/>
        </w:rPr>
        <w:t>1学年度第一学期学科重大事件安排表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636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Align w:val="center"/>
          </w:tcPr>
          <w:p>
            <w:pPr>
              <w:spacing w:line="312" w:lineRule="auto"/>
              <w:jc w:val="center"/>
            </w:pPr>
            <w:r>
              <w:rPr>
                <w:rFonts w:hint="eastAsia"/>
              </w:rPr>
              <w:t>时间</w:t>
            </w:r>
          </w:p>
        </w:tc>
        <w:tc>
          <w:tcPr>
            <w:tcW w:w="6366" w:type="dxa"/>
            <w:vAlign w:val="center"/>
          </w:tcPr>
          <w:p>
            <w:pPr>
              <w:spacing w:line="312" w:lineRule="auto"/>
              <w:jc w:val="center"/>
            </w:pPr>
            <w:r>
              <w:rPr>
                <w:rFonts w:hint="eastAsia"/>
              </w:rPr>
              <w:t>重大事件</w:t>
            </w:r>
          </w:p>
        </w:tc>
        <w:tc>
          <w:tcPr>
            <w:tcW w:w="0" w:type="auto"/>
            <w:vAlign w:val="center"/>
          </w:tcPr>
          <w:p>
            <w:pPr>
              <w:spacing w:line="312" w:lineRule="auto"/>
              <w:jc w:val="center"/>
            </w:pPr>
            <w:r>
              <w:rPr>
                <w:rFonts w:hint="eastAsia"/>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04" w:type="dxa"/>
            <w:vAlign w:val="center"/>
          </w:tcPr>
          <w:p>
            <w:pPr>
              <w:snapToGrid w:val="0"/>
              <w:spacing w:line="312" w:lineRule="auto"/>
              <w:jc w:val="both"/>
              <w:rPr>
                <w:rFonts w:hint="eastAsia" w:ascii="宋体" w:hAnsi="宋体" w:cs="Times New Roman"/>
                <w:bCs/>
                <w:kern w:val="0"/>
                <w:szCs w:val="24"/>
                <w:lang w:eastAsia="zh-CN"/>
              </w:rPr>
            </w:pPr>
            <w:r>
              <w:rPr>
                <w:rFonts w:hint="eastAsia" w:ascii="宋体" w:hAnsi="宋体" w:cs="Times New Roman"/>
                <w:bCs/>
                <w:kern w:val="0"/>
                <w:szCs w:val="24"/>
                <w:lang w:eastAsia="zh-CN"/>
              </w:rPr>
              <w:t>九月份</w:t>
            </w:r>
          </w:p>
        </w:tc>
        <w:tc>
          <w:tcPr>
            <w:tcW w:w="6366" w:type="dxa"/>
            <w:vAlign w:val="center"/>
          </w:tcPr>
          <w:p>
            <w:pPr>
              <w:snapToGrid w:val="0"/>
              <w:spacing w:line="312" w:lineRule="auto"/>
              <w:jc w:val="both"/>
              <w:rPr>
                <w:rFonts w:hint="eastAsia" w:ascii="宋体" w:hAnsi="宋体" w:cs="Times New Roman"/>
                <w:bCs/>
                <w:kern w:val="0"/>
                <w:szCs w:val="24"/>
                <w:lang w:eastAsia="zh-CN"/>
              </w:rPr>
            </w:pPr>
            <w:r>
              <w:rPr>
                <w:rFonts w:hint="eastAsia" w:ascii="宋体" w:hAnsi="宋体" w:cs="Times New Roman"/>
                <w:bCs/>
                <w:kern w:val="0"/>
                <w:szCs w:val="24"/>
                <w:lang w:eastAsia="zh-CN"/>
              </w:rPr>
              <w:t>期初教材培训</w:t>
            </w:r>
          </w:p>
          <w:p>
            <w:pPr>
              <w:snapToGrid w:val="0"/>
              <w:spacing w:line="312" w:lineRule="auto"/>
              <w:jc w:val="both"/>
              <w:rPr>
                <w:rFonts w:hint="eastAsia" w:ascii="宋体" w:hAnsi="宋体" w:cs="Times New Roman"/>
                <w:bCs/>
                <w:kern w:val="0"/>
                <w:szCs w:val="24"/>
                <w:lang w:eastAsia="zh-CN"/>
              </w:rPr>
            </w:pPr>
            <w:r>
              <w:rPr>
                <w:rFonts w:hint="eastAsia" w:ascii="宋体" w:hAnsi="宋体" w:cs="Times New Roman"/>
                <w:bCs/>
                <w:kern w:val="0"/>
                <w:szCs w:val="24"/>
                <w:lang w:eastAsia="zh-CN"/>
              </w:rPr>
              <w:t>省2020年小学数学优秀课评比活动</w:t>
            </w:r>
          </w:p>
        </w:tc>
        <w:tc>
          <w:tcPr>
            <w:tcW w:w="0" w:type="auto"/>
            <w:vAlign w:val="center"/>
          </w:tcPr>
          <w:p>
            <w:pPr>
              <w:spacing w:line="312"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Align w:val="center"/>
          </w:tcPr>
          <w:p>
            <w:pPr>
              <w:snapToGrid w:val="0"/>
              <w:spacing w:line="312" w:lineRule="auto"/>
              <w:jc w:val="both"/>
              <w:rPr>
                <w:rFonts w:hint="eastAsia" w:ascii="宋体" w:hAnsi="宋体" w:cs="Times New Roman"/>
                <w:bCs/>
                <w:kern w:val="0"/>
                <w:szCs w:val="24"/>
                <w:lang w:eastAsia="zh-CN"/>
              </w:rPr>
            </w:pPr>
            <w:r>
              <w:rPr>
                <w:rFonts w:hint="eastAsia" w:ascii="宋体" w:hAnsi="宋体" w:cs="Times New Roman"/>
                <w:bCs/>
                <w:kern w:val="0"/>
                <w:szCs w:val="24"/>
                <w:lang w:eastAsia="zh-CN"/>
              </w:rPr>
              <w:t>十月份</w:t>
            </w:r>
          </w:p>
        </w:tc>
        <w:tc>
          <w:tcPr>
            <w:tcW w:w="6366" w:type="dxa"/>
            <w:vAlign w:val="center"/>
          </w:tcPr>
          <w:p>
            <w:pPr>
              <w:snapToGrid w:val="0"/>
              <w:spacing w:line="312" w:lineRule="auto"/>
              <w:jc w:val="both"/>
              <w:rPr>
                <w:rFonts w:hint="eastAsia" w:ascii="宋体" w:hAnsi="宋体" w:cs="Times New Roman"/>
                <w:bCs/>
                <w:kern w:val="0"/>
                <w:szCs w:val="24"/>
                <w:lang w:eastAsia="zh-CN"/>
              </w:rPr>
            </w:pPr>
            <w:r>
              <w:rPr>
                <w:rFonts w:hint="eastAsia" w:ascii="宋体" w:hAnsi="宋体" w:cs="Times New Roman"/>
                <w:bCs/>
                <w:kern w:val="0"/>
                <w:szCs w:val="24"/>
                <w:lang w:eastAsia="zh-CN"/>
              </w:rPr>
              <w:t>各年级期初教材分析</w:t>
            </w:r>
          </w:p>
          <w:p>
            <w:pPr>
              <w:snapToGrid w:val="0"/>
              <w:spacing w:line="312" w:lineRule="auto"/>
              <w:jc w:val="both"/>
              <w:rPr>
                <w:rFonts w:hint="eastAsia" w:ascii="宋体" w:hAnsi="宋体" w:cs="Times New Roman"/>
                <w:bCs/>
                <w:kern w:val="0"/>
                <w:szCs w:val="24"/>
                <w:lang w:eastAsia="zh-CN"/>
              </w:rPr>
            </w:pPr>
            <w:r>
              <w:rPr>
                <w:rFonts w:hint="eastAsia" w:ascii="宋体" w:hAnsi="宋体" w:cs="Times New Roman"/>
                <w:bCs/>
                <w:kern w:val="0"/>
                <w:szCs w:val="24"/>
                <w:lang w:eastAsia="zh-CN"/>
              </w:rPr>
              <w:t>省学业质量监测</w:t>
            </w:r>
          </w:p>
        </w:tc>
        <w:tc>
          <w:tcPr>
            <w:tcW w:w="0" w:type="auto"/>
            <w:vAlign w:val="center"/>
          </w:tcPr>
          <w:p>
            <w:pPr>
              <w:spacing w:line="312"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Align w:val="center"/>
          </w:tcPr>
          <w:p>
            <w:pPr>
              <w:snapToGrid w:val="0"/>
              <w:spacing w:line="312" w:lineRule="auto"/>
              <w:jc w:val="both"/>
              <w:rPr>
                <w:rFonts w:hint="eastAsia" w:ascii="宋体" w:hAnsi="宋体" w:cs="Times New Roman"/>
                <w:bCs/>
                <w:kern w:val="0"/>
                <w:szCs w:val="24"/>
                <w:lang w:eastAsia="zh-CN"/>
              </w:rPr>
            </w:pPr>
            <w:r>
              <w:rPr>
                <w:rFonts w:hint="eastAsia" w:ascii="宋体" w:hAnsi="宋体" w:cs="Times New Roman"/>
                <w:bCs/>
                <w:kern w:val="0"/>
                <w:szCs w:val="24"/>
                <w:lang w:eastAsia="zh-CN"/>
              </w:rPr>
              <w:t>十一月份</w:t>
            </w:r>
          </w:p>
        </w:tc>
        <w:tc>
          <w:tcPr>
            <w:tcW w:w="6366" w:type="dxa"/>
            <w:vAlign w:val="center"/>
          </w:tcPr>
          <w:p>
            <w:pPr>
              <w:snapToGrid w:val="0"/>
              <w:spacing w:line="312" w:lineRule="auto"/>
              <w:jc w:val="both"/>
              <w:rPr>
                <w:rFonts w:hint="eastAsia" w:ascii="宋体" w:hAnsi="宋体" w:cs="Times New Roman"/>
                <w:bCs/>
                <w:kern w:val="0"/>
                <w:szCs w:val="24"/>
                <w:lang w:eastAsia="zh-CN"/>
              </w:rPr>
            </w:pPr>
            <w:r>
              <w:rPr>
                <w:rFonts w:hint="eastAsia" w:ascii="宋体" w:hAnsi="宋体" w:cs="Times New Roman"/>
                <w:bCs/>
                <w:kern w:val="0"/>
                <w:szCs w:val="24"/>
                <w:lang w:eastAsia="zh-CN"/>
              </w:rPr>
              <w:t>依托网络平台，组织小学阶段学业质量监测分析研</w:t>
            </w:r>
          </w:p>
          <w:p>
            <w:pPr>
              <w:snapToGrid w:val="0"/>
              <w:spacing w:line="312" w:lineRule="auto"/>
              <w:jc w:val="both"/>
              <w:rPr>
                <w:rFonts w:hint="eastAsia" w:ascii="宋体" w:hAnsi="宋体" w:cs="Times New Roman"/>
                <w:bCs/>
                <w:kern w:val="0"/>
                <w:szCs w:val="24"/>
                <w:lang w:eastAsia="zh-CN"/>
              </w:rPr>
            </w:pPr>
            <w:r>
              <w:rPr>
                <w:rFonts w:hint="eastAsia" w:ascii="宋体" w:hAnsi="宋体" w:cs="Times New Roman"/>
                <w:bCs/>
                <w:kern w:val="0"/>
                <w:szCs w:val="24"/>
                <w:lang w:eastAsia="zh-CN"/>
              </w:rPr>
              <w:t>常州市小学数学教学专业委员会2020年年会论文评比</w:t>
            </w:r>
            <w:r>
              <w:rPr>
                <w:rFonts w:hint="eastAsia" w:ascii="宋体" w:hAnsi="宋体" w:cs="Times New Roman"/>
                <w:bCs/>
                <w:kern w:val="0"/>
                <w:szCs w:val="24"/>
                <w:lang w:eastAsia="zh-CN"/>
              </w:rPr>
              <w:t>，主题是“创造适合每一个学生的数学教育”</w:t>
            </w:r>
          </w:p>
        </w:tc>
        <w:tc>
          <w:tcPr>
            <w:tcW w:w="0" w:type="auto"/>
            <w:vAlign w:val="center"/>
          </w:tcPr>
          <w:p>
            <w:pPr>
              <w:spacing w:line="312"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104" w:type="dxa"/>
            <w:vAlign w:val="center"/>
          </w:tcPr>
          <w:p>
            <w:pPr>
              <w:snapToGrid w:val="0"/>
              <w:spacing w:line="312" w:lineRule="auto"/>
              <w:jc w:val="both"/>
              <w:rPr>
                <w:rFonts w:hint="eastAsia" w:ascii="宋体" w:hAnsi="宋体" w:cs="Times New Roman"/>
                <w:bCs/>
                <w:kern w:val="0"/>
                <w:szCs w:val="24"/>
                <w:lang w:eastAsia="zh-CN"/>
              </w:rPr>
            </w:pPr>
            <w:r>
              <w:rPr>
                <w:rFonts w:hint="eastAsia" w:ascii="宋体" w:hAnsi="宋体" w:cs="Times New Roman"/>
                <w:bCs/>
                <w:kern w:val="0"/>
                <w:szCs w:val="24"/>
                <w:lang w:eastAsia="zh-CN"/>
              </w:rPr>
              <w:t>十二月份</w:t>
            </w:r>
          </w:p>
        </w:tc>
        <w:tc>
          <w:tcPr>
            <w:tcW w:w="6366" w:type="dxa"/>
            <w:vAlign w:val="center"/>
          </w:tcPr>
          <w:p>
            <w:pPr>
              <w:snapToGrid w:val="0"/>
              <w:spacing w:line="312" w:lineRule="auto"/>
              <w:jc w:val="both"/>
              <w:rPr>
                <w:rFonts w:hint="eastAsia" w:ascii="宋体" w:hAnsi="宋体" w:cs="Times New Roman"/>
                <w:bCs/>
                <w:kern w:val="0"/>
                <w:szCs w:val="24"/>
                <w:lang w:eastAsia="zh-CN"/>
              </w:rPr>
            </w:pPr>
            <w:r>
              <w:rPr>
                <w:rFonts w:hint="eastAsia" w:ascii="宋体" w:hAnsi="宋体" w:cs="Times New Roman"/>
                <w:bCs/>
                <w:kern w:val="0"/>
                <w:szCs w:val="24"/>
                <w:lang w:eastAsia="zh-CN"/>
              </w:rPr>
              <w:t>部分年级学业水平质量调研</w:t>
            </w:r>
          </w:p>
          <w:p>
            <w:pPr>
              <w:snapToGrid w:val="0"/>
              <w:spacing w:line="312" w:lineRule="auto"/>
              <w:jc w:val="both"/>
              <w:rPr>
                <w:rFonts w:hint="eastAsia" w:ascii="宋体" w:hAnsi="宋体" w:cs="Times New Roman"/>
                <w:bCs/>
                <w:kern w:val="0"/>
                <w:szCs w:val="24"/>
                <w:lang w:eastAsia="zh-CN"/>
              </w:rPr>
            </w:pPr>
            <w:r>
              <w:rPr>
                <w:rFonts w:hint="eastAsia" w:ascii="宋体" w:hAnsi="宋体" w:cs="Times New Roman"/>
                <w:bCs/>
                <w:kern w:val="0"/>
                <w:szCs w:val="24"/>
                <w:lang w:eastAsia="zh-CN"/>
              </w:rPr>
              <w:t>常州市小学数学课程实施成果展示活动</w:t>
            </w:r>
          </w:p>
        </w:tc>
        <w:tc>
          <w:tcPr>
            <w:tcW w:w="0" w:type="auto"/>
            <w:vAlign w:val="center"/>
          </w:tcPr>
          <w:p>
            <w:pPr>
              <w:spacing w:line="312" w:lineRule="auto"/>
              <w:jc w:val="center"/>
            </w:pPr>
          </w:p>
        </w:tc>
      </w:tr>
    </w:tbl>
    <w:p>
      <w:pPr>
        <w:pStyle w:val="11"/>
        <w:numPr>
          <w:ilvl w:val="0"/>
          <w:numId w:val="1"/>
        </w:numPr>
        <w:spacing w:line="312" w:lineRule="auto"/>
        <w:ind w:firstLineChars="0"/>
        <w:rPr>
          <w:rFonts w:ascii="宋体" w:hAnsi="宋体"/>
          <w:b/>
          <w:color w:val="0070C0"/>
          <w:szCs w:val="24"/>
        </w:rPr>
      </w:pPr>
      <w:r>
        <w:rPr>
          <w:rFonts w:hint="eastAsia" w:ascii="宋体" w:hAnsi="宋体"/>
          <w:b/>
          <w:color w:val="0070C0"/>
          <w:szCs w:val="24"/>
        </w:rPr>
        <w:t>实施策略</w:t>
      </w:r>
    </w:p>
    <w:p>
      <w:pPr>
        <w:numPr>
          <w:ilvl w:val="0"/>
          <w:numId w:val="3"/>
        </w:numPr>
        <w:spacing w:line="312" w:lineRule="auto"/>
        <w:rPr>
          <w:rFonts w:ascii="楷体" w:hAnsi="楷体" w:eastAsia="楷体"/>
          <w:b/>
          <w:bCs/>
          <w:sz w:val="28"/>
          <w:szCs w:val="24"/>
        </w:rPr>
      </w:pPr>
      <w:r>
        <w:rPr>
          <w:rFonts w:hint="eastAsia" w:ascii="楷体" w:hAnsi="楷体" w:eastAsia="楷体"/>
          <w:b/>
          <w:bCs/>
          <w:sz w:val="28"/>
          <w:szCs w:val="24"/>
        </w:rPr>
        <w:t>“课程建设”为平台，提升团队价值认同</w:t>
      </w:r>
    </w:p>
    <w:p>
      <w:pPr>
        <w:spacing w:line="440" w:lineRule="exact"/>
        <w:ind w:firstLine="480" w:firstLineChars="200"/>
        <w:rPr>
          <w:rFonts w:hint="eastAsia" w:ascii="宋体" w:hAnsi="宋体" w:cs="宋体"/>
          <w:szCs w:val="24"/>
        </w:rPr>
      </w:pPr>
      <w:r>
        <w:rPr>
          <w:rFonts w:hint="eastAsia"/>
        </w:rPr>
        <w:t>课程建设是我们追求的方向，从今年开始，我们也明晰了课程建设的方向。就数学课程建设，我们分为国家课程和校本课程。当然在课程建设的过程中我们不会把国家课程和校本课程完全割裂，而是你中有我，我中有你的状态。开发校本课程是基础教育课程改革的重大的举措，是实践以人为本的新课程理念的一个崭新阵地，是时代发展的需要，是素质教育的需要，也是终身教育的需要。我们现在确定的校本课程是</w:t>
      </w:r>
      <w:r>
        <w:rPr>
          <w:rFonts w:hint="eastAsia"/>
          <w:lang w:eastAsia="zh-CN"/>
        </w:rPr>
        <w:t>三少课程之少年硅谷中的</w:t>
      </w:r>
      <w:r>
        <w:rPr>
          <w:rFonts w:hint="eastAsia" w:ascii="宋体" w:hAnsi="宋体" w:cs="宋体"/>
          <w:szCs w:val="24"/>
        </w:rPr>
        <w:t>“AI数学 ”——智联历史 慧通未来。主要分为两大板块，第一是智联历史板块，每个年级开发一个与数学史相关的固定活动。当然这里的活动也会与之前年级开展的一些固定活动进行整合。第二是慧通未来板块，以“出行”为主题的项目活动。这个是完全需要进行开发的。目前我们以教研组为单位，每个教研组研究一个适合本年级的“出行”项目。一边研究方案，一边进行课堂实践。</w:t>
      </w:r>
    </w:p>
    <w:p>
      <w:pPr>
        <w:spacing w:line="440" w:lineRule="exact"/>
        <w:ind w:firstLine="480" w:firstLineChars="200"/>
        <w:rPr>
          <w:rFonts w:hint="eastAsia"/>
        </w:rPr>
      </w:pPr>
      <w:r>
        <w:rPr>
          <w:rFonts w:hint="eastAsia"/>
        </w:rPr>
        <w:t>就国家课程而言，除了按计划执行课程之外，我们会利用书上的实践园地，开展一些数学家故事、实践活动、数学游戏等。历史上许多数学家都曾在青少年时代受到一些优秀数学书籍的重要影响，不仅从中得到数学的精神、思想和方法的熏陶，而且在他们的一生中留下了难忘的印象。向学生提供好的课外读物，帮助和鼓励他们积极地阅读，可以使他们开阔知识视野，提高他们独立获取知识的能力。课外的实践活动能促进学生的学习兴趣，提升学生的活动能力，扩展学生的视野。如：</w:t>
      </w:r>
      <w:r>
        <w:rPr>
          <w:rFonts w:hint="eastAsia"/>
          <w:lang w:eastAsia="zh-CN"/>
        </w:rPr>
        <w:t>六</w:t>
      </w:r>
      <w:r>
        <w:rPr>
          <w:rFonts w:hint="eastAsia"/>
        </w:rPr>
        <w:t>年级（</w:t>
      </w:r>
      <w:r>
        <w:rPr>
          <w:rFonts w:hint="eastAsia"/>
          <w:lang w:eastAsia="zh-CN"/>
        </w:rPr>
        <w:t>上</w:t>
      </w:r>
      <w:r>
        <w:rPr>
          <w:rFonts w:hint="eastAsia"/>
        </w:rPr>
        <w:t>）在学习了长方体相关知识后安排了一个“包装的学问”实践活动，在实践活动过程中，引导学生用数学知识去了解生活解决问题，引起学生情感上的震撼，从而培养学生的应用意识，体现数学课程的人文价值。</w:t>
      </w:r>
    </w:p>
    <w:p>
      <w:pPr>
        <w:spacing w:line="440" w:lineRule="exact"/>
        <w:ind w:firstLine="480" w:firstLineChars="200"/>
        <w:rPr>
          <w:rFonts w:hint="eastAsia"/>
        </w:rPr>
      </w:pPr>
      <w:r>
        <w:rPr>
          <w:rFonts w:hint="eastAsia"/>
        </w:rPr>
        <w:t>心理学研究表明促进人的素质和个性发展的最重要途径是实践活动。而玩正是儿童这一年龄阶段特有的社会实践活动。</w:t>
      </w:r>
      <w:r>
        <w:rPr>
          <w:rFonts w:hint="eastAsia"/>
          <w:lang w:eastAsia="zh-CN"/>
        </w:rPr>
        <w:t>我们</w:t>
      </w:r>
      <w:r>
        <w:rPr>
          <w:rFonts w:hint="eastAsia"/>
        </w:rPr>
        <w:t>可以把课本的知识转化成“玩”的活动，也可以把日常生活或是科普读物中的游戏和学生一起玩，体会其中数学的奥妙，在适应和满足儿童的天性的同时获得了数学知识和方法。魏书生有句名言：每件事都有一百种做法，只要我们不断思考，大胆尝试，总能够想出好方法的。数学课堂教学主要是学习课本知识，我们为了激发学生的学习兴趣常常创设情景。其实游戏未尝不可以成为课本知识的载体，只要我们有足够的智慧。如：我在上小学</w:t>
      </w:r>
      <w:r>
        <w:rPr>
          <w:rFonts w:hint="eastAsia"/>
          <w:lang w:eastAsia="zh-CN"/>
        </w:rPr>
        <w:t>一</w:t>
      </w:r>
      <w:r>
        <w:rPr>
          <w:rFonts w:hint="eastAsia"/>
        </w:rPr>
        <w:t>年级（</w:t>
      </w:r>
      <w:r>
        <w:rPr>
          <w:rFonts w:hint="eastAsia"/>
          <w:lang w:eastAsia="zh-CN"/>
        </w:rPr>
        <w:t>下</w:t>
      </w:r>
      <w:r>
        <w:rPr>
          <w:rFonts w:hint="eastAsia"/>
        </w:rPr>
        <w:t>）《人民币》一课后设计了这样一个游戏活动“班级旧物市场”虚拟的活动场所是一个旧物市场，这个活动十分突出学生综合运用数学知识解决生活中的现实问题，每一位学生都经历用一定的金额选购物品的活动过程从中体验到学习数学的乐趣，同时也从中感受到数学与生活的紧密联系以及数学在日常生活中的重要作用。比如今年暑假我们就与江苏银行联手举办了“未来银行家”的活动，学生们也是收货满满。</w:t>
      </w:r>
    </w:p>
    <w:p>
      <w:pPr>
        <w:spacing w:line="440" w:lineRule="exact"/>
        <w:ind w:firstLine="480" w:firstLineChars="200"/>
        <w:rPr>
          <w:rFonts w:hint="eastAsia" w:ascii="宋体" w:hAnsi="宋体"/>
          <w:b/>
          <w:color w:val="0070C0"/>
          <w:szCs w:val="24"/>
        </w:rPr>
      </w:pPr>
      <w:r>
        <w:rPr>
          <w:rFonts w:hint="eastAsia"/>
        </w:rPr>
        <w:t>其实这些活动又会融入到我们的AI</w:t>
      </w:r>
      <w:r>
        <w:rPr>
          <w:rFonts w:hint="eastAsia"/>
          <w:lang w:eastAsia="zh-CN"/>
        </w:rPr>
        <w:t>数学</w:t>
      </w:r>
      <w:r>
        <w:rPr>
          <w:rFonts w:hint="eastAsia"/>
        </w:rPr>
        <w:t>的智联历史板块。我们老师课程资源意识增强了，学生们更是在数学校本活动中学习，在互动中交流，让学生从课堂教学向学习生活、社会生活、自我生活延伸。为学生的发展提供了一种开放的发展空间和发展机会。</w:t>
      </w:r>
    </w:p>
    <w:p>
      <w:pPr>
        <w:spacing w:line="312" w:lineRule="auto"/>
        <w:rPr>
          <w:rFonts w:ascii="楷体" w:hAnsi="楷体" w:eastAsia="楷体"/>
          <w:b/>
          <w:bCs/>
          <w:sz w:val="28"/>
          <w:szCs w:val="24"/>
        </w:rPr>
      </w:pPr>
      <w:r>
        <w:rPr>
          <w:rFonts w:hint="eastAsia" w:ascii="楷体" w:hAnsi="楷体" w:eastAsia="楷体"/>
          <w:b/>
          <w:bCs/>
          <w:sz w:val="28"/>
          <w:szCs w:val="24"/>
        </w:rPr>
        <w:t>（二）以“改革之路”为方向，促进教师的专业发展</w:t>
      </w:r>
    </w:p>
    <w:p>
      <w:pPr>
        <w:spacing w:line="312" w:lineRule="auto"/>
        <w:ind w:firstLine="482" w:firstLineChars="200"/>
        <w:rPr>
          <w:rFonts w:ascii="宋体" w:hAnsi="宋体" w:cs="Times New Roman"/>
          <w:b/>
          <w:bCs/>
          <w:szCs w:val="24"/>
        </w:rPr>
      </w:pPr>
      <w:r>
        <w:rPr>
          <w:rFonts w:hint="eastAsia" w:ascii="宋体" w:hAnsi="宋体" w:cs="Times New Roman"/>
          <w:b/>
          <w:bCs/>
          <w:szCs w:val="24"/>
        </w:rPr>
        <w:t>1.理论学习，落地开花</w:t>
      </w:r>
    </w:p>
    <w:p>
      <w:pPr>
        <w:snapToGrid w:val="0"/>
        <w:spacing w:line="312" w:lineRule="auto"/>
        <w:ind w:firstLine="600" w:firstLineChars="250"/>
        <w:jc w:val="both"/>
        <w:rPr>
          <w:rFonts w:ascii="宋体" w:hAnsi="宋体" w:cs="宋体"/>
          <w:szCs w:val="24"/>
        </w:rPr>
      </w:pPr>
      <w:r>
        <w:rPr>
          <w:rFonts w:hint="eastAsia" w:ascii="宋体" w:hAnsi="宋体" w:cs="宋体"/>
          <w:szCs w:val="24"/>
        </w:rPr>
        <w:t>以《数学课程标准》、潘院《教材的专业化解读》、曹培英《跨越断层，走出误区》、张奠宙《小学数学教材中的大道理》、《中小学数学化教学》杂志为主要阅读书目。其中《数学课程标准》、潘院《教材的专业化解读》是我们一直在反复阅读的书目，曹培英《跨越断层，走出误区》、张奠宙《小学数学教材中的大道理》是我们暑假的阅读书目。《中小学数学化教学》杂志的阅读是希望大家能够了解到最前沿的一些教学方式方法。这些书目的阅读我们会进行案例式学习，清晰学科育人价值。教研组长组织策划，带领组员围绕所读书目结合实践开展沙龙活动，形式可以多样，摘要分享、案例分析等，每月一次的大组读书交流。</w:t>
      </w:r>
    </w:p>
    <w:p>
      <w:pPr>
        <w:snapToGrid w:val="0"/>
        <w:spacing w:line="312" w:lineRule="auto"/>
        <w:ind w:firstLine="600" w:firstLineChars="250"/>
        <w:jc w:val="both"/>
        <w:rPr>
          <w:rFonts w:ascii="宋体" w:hAnsi="宋体" w:cs="宋体"/>
          <w:szCs w:val="24"/>
        </w:rPr>
      </w:pPr>
      <w:r>
        <w:rPr>
          <w:rFonts w:hint="eastAsia" w:ascii="宋体" w:hAnsi="宋体" w:cs="宋体"/>
          <w:szCs w:val="24"/>
        </w:rPr>
        <w:t>（底线要求：1</w:t>
      </w:r>
      <w:r>
        <w:rPr>
          <w:rFonts w:ascii="宋体" w:hAnsi="宋体" w:cs="宋体"/>
          <w:szCs w:val="24"/>
        </w:rPr>
        <w:t>.</w:t>
      </w:r>
      <w:r>
        <w:rPr>
          <w:rFonts w:hint="eastAsia" w:ascii="宋体" w:hAnsi="宋体" w:cs="宋体"/>
          <w:szCs w:val="24"/>
        </w:rPr>
        <w:t>每个学期一本书，有读书笔记；</w:t>
      </w:r>
    </w:p>
    <w:p>
      <w:pPr>
        <w:snapToGrid w:val="0"/>
        <w:spacing w:line="312" w:lineRule="auto"/>
        <w:ind w:left="2280" w:leftChars="850" w:hanging="240" w:hangingChars="100"/>
        <w:jc w:val="both"/>
        <w:rPr>
          <w:rFonts w:ascii="宋体" w:hAnsi="宋体" w:cs="宋体"/>
          <w:szCs w:val="24"/>
        </w:rPr>
      </w:pPr>
      <w:r>
        <w:rPr>
          <w:rFonts w:hint="eastAsia" w:ascii="宋体" w:hAnsi="宋体" w:cs="宋体"/>
          <w:szCs w:val="24"/>
        </w:rPr>
        <w:t>2</w:t>
      </w:r>
      <w:r>
        <w:rPr>
          <w:rFonts w:ascii="宋体" w:hAnsi="宋体" w:cs="宋体"/>
          <w:szCs w:val="24"/>
        </w:rPr>
        <w:t>.</w:t>
      </w:r>
      <w:r>
        <w:rPr>
          <w:rFonts w:hint="eastAsia" w:ascii="宋体" w:hAnsi="宋体" w:cs="宋体"/>
          <w:szCs w:val="24"/>
        </w:rPr>
        <w:t>每个学期一节公开课，可以是自己邀请骨干教师进行听评课，课后要收集好教案，P</w:t>
      </w:r>
      <w:r>
        <w:rPr>
          <w:rFonts w:ascii="宋体" w:hAnsi="宋体" w:cs="宋体"/>
          <w:szCs w:val="24"/>
        </w:rPr>
        <w:t>PT</w:t>
      </w:r>
      <w:r>
        <w:rPr>
          <w:rFonts w:hint="eastAsia" w:ascii="宋体" w:hAnsi="宋体" w:cs="宋体"/>
          <w:szCs w:val="24"/>
        </w:rPr>
        <w:t>，教学过程视频等资料并上交；</w:t>
      </w:r>
    </w:p>
    <w:p>
      <w:pPr>
        <w:snapToGrid w:val="0"/>
        <w:spacing w:line="312" w:lineRule="auto"/>
        <w:ind w:left="2280" w:leftChars="850" w:hanging="240" w:hangingChars="100"/>
        <w:jc w:val="both"/>
        <w:rPr>
          <w:rFonts w:ascii="宋体" w:hAnsi="宋体" w:cs="宋体"/>
          <w:szCs w:val="24"/>
        </w:rPr>
      </w:pPr>
      <w:r>
        <w:rPr>
          <w:rFonts w:hint="eastAsia" w:ascii="宋体" w:hAnsi="宋体" w:cs="宋体"/>
          <w:szCs w:val="24"/>
        </w:rPr>
        <w:t>3</w:t>
      </w:r>
      <w:r>
        <w:rPr>
          <w:rFonts w:ascii="宋体" w:hAnsi="宋体" w:cs="宋体"/>
          <w:szCs w:val="24"/>
        </w:rPr>
        <w:t>.</w:t>
      </w:r>
      <w:r>
        <w:rPr>
          <w:rFonts w:hint="eastAsia" w:ascii="宋体" w:hAnsi="宋体" w:cs="宋体"/>
          <w:szCs w:val="24"/>
        </w:rPr>
        <w:t>每个学期一篇与本专业有关的文章；</w:t>
      </w:r>
    </w:p>
    <w:p>
      <w:pPr>
        <w:snapToGrid w:val="0"/>
        <w:spacing w:line="312" w:lineRule="auto"/>
        <w:ind w:left="2280" w:leftChars="850" w:hanging="240" w:hangingChars="100"/>
        <w:jc w:val="both"/>
        <w:rPr>
          <w:rFonts w:ascii="宋体" w:hAnsi="宋体" w:cs="宋体"/>
          <w:szCs w:val="24"/>
        </w:rPr>
      </w:pPr>
      <w:r>
        <w:rPr>
          <w:rFonts w:ascii="宋体" w:hAnsi="宋体" w:cs="宋体"/>
          <w:szCs w:val="24"/>
        </w:rPr>
        <w:t>4.</w:t>
      </w:r>
      <w:r>
        <w:rPr>
          <w:rFonts w:hint="eastAsia" w:ascii="宋体" w:hAnsi="宋体" w:cs="宋体"/>
          <w:szCs w:val="24"/>
        </w:rPr>
        <w:t>每年一篇论文，争取发表或者获奖；</w:t>
      </w:r>
    </w:p>
    <w:p>
      <w:pPr>
        <w:snapToGrid w:val="0"/>
        <w:spacing w:line="312" w:lineRule="auto"/>
        <w:ind w:left="2280" w:leftChars="850" w:hanging="240" w:hangingChars="100"/>
        <w:jc w:val="both"/>
        <w:rPr>
          <w:rFonts w:ascii="宋体" w:hAnsi="宋体" w:cs="宋体"/>
          <w:szCs w:val="24"/>
        </w:rPr>
      </w:pPr>
      <w:r>
        <w:rPr>
          <w:rFonts w:hint="eastAsia" w:ascii="宋体" w:hAnsi="宋体" w:cs="宋体"/>
          <w:szCs w:val="24"/>
        </w:rPr>
        <w:t>5</w:t>
      </w:r>
      <w:r>
        <w:rPr>
          <w:rFonts w:ascii="宋体" w:hAnsi="宋体" w:cs="宋体"/>
          <w:szCs w:val="24"/>
        </w:rPr>
        <w:t>.</w:t>
      </w:r>
      <w:r>
        <w:rPr>
          <w:rFonts w:hint="eastAsia" w:ascii="宋体" w:hAnsi="宋体" w:cs="宋体"/>
          <w:szCs w:val="24"/>
        </w:rPr>
        <w:t>每学期一次学习，可以是市区级听课，可以是网上的优课学习</w:t>
      </w:r>
    </w:p>
    <w:p>
      <w:pPr>
        <w:snapToGrid w:val="0"/>
        <w:spacing w:line="312" w:lineRule="auto"/>
        <w:ind w:left="2280" w:leftChars="850" w:hanging="240" w:hangingChars="100"/>
        <w:jc w:val="both"/>
        <w:rPr>
          <w:rFonts w:ascii="宋体" w:hAnsi="宋体" w:cs="Times New Roman"/>
          <w:b/>
          <w:bCs/>
          <w:szCs w:val="24"/>
        </w:rPr>
      </w:pPr>
      <w:r>
        <w:rPr>
          <w:rFonts w:hint="eastAsia" w:ascii="宋体" w:hAnsi="宋体" w:cs="宋体"/>
          <w:szCs w:val="24"/>
        </w:rPr>
        <w:t>6</w:t>
      </w:r>
      <w:r>
        <w:rPr>
          <w:rFonts w:ascii="宋体" w:hAnsi="宋体" w:cs="宋体"/>
          <w:szCs w:val="24"/>
        </w:rPr>
        <w:t>.</w:t>
      </w:r>
      <w:r>
        <w:rPr>
          <w:rFonts w:hint="eastAsia" w:ascii="宋体" w:hAnsi="宋体" w:cs="宋体"/>
          <w:szCs w:val="24"/>
        </w:rPr>
        <w:t>蓝天杯的教学设计和论文评比所有人参与。）</w:t>
      </w:r>
    </w:p>
    <w:p>
      <w:pPr>
        <w:spacing w:line="312" w:lineRule="auto"/>
        <w:ind w:firstLine="482" w:firstLineChars="200"/>
        <w:rPr>
          <w:rFonts w:ascii="宋体" w:hAnsi="宋体" w:cs="Times New Roman"/>
          <w:b/>
          <w:bCs/>
          <w:szCs w:val="24"/>
        </w:rPr>
      </w:pPr>
      <w:r>
        <w:rPr>
          <w:rFonts w:hint="eastAsia" w:ascii="宋体" w:hAnsi="宋体" w:cs="Times New Roman"/>
          <w:b/>
          <w:bCs/>
          <w:szCs w:val="24"/>
        </w:rPr>
        <w:t>2.校工作室，有向推进</w:t>
      </w:r>
    </w:p>
    <w:p>
      <w:pPr>
        <w:spacing w:line="312" w:lineRule="auto"/>
        <w:ind w:firstLine="480" w:firstLineChars="200"/>
        <w:rPr>
          <w:rFonts w:ascii="宋体" w:hAnsi="宋体" w:cs="Times New Roman"/>
          <w:szCs w:val="24"/>
        </w:rPr>
      </w:pPr>
      <w:r>
        <w:rPr>
          <w:rFonts w:hint="eastAsia" w:ascii="宋体" w:hAnsi="宋体" w:cs="Times New Roman"/>
          <w:szCs w:val="24"/>
        </w:rPr>
        <w:t>基于前期数学学科组在课程实施、学科组建设方面的相关成果，关注自身发展中存在问题，我们找寻解决问题的视角、路径与方式。我们从原来的项目组成立了“两大工作室”，分别是荆亚琴老师领衔的“教材解读”工作室；蔡芬老师领衔的“数字化学习”工作室；这两大工作室成立专项研究团队，聘请专家，有序研究与实践探索，力争三年有所成果。</w:t>
      </w:r>
    </w:p>
    <w:p>
      <w:pPr>
        <w:snapToGrid w:val="0"/>
        <w:spacing w:line="312" w:lineRule="auto"/>
        <w:ind w:firstLine="2520" w:firstLineChars="1050"/>
        <w:rPr>
          <w:rFonts w:ascii="宋体" w:hAnsi="宋体" w:cs="Times New Roman"/>
          <w:szCs w:val="24"/>
        </w:rPr>
      </w:pPr>
      <w:r>
        <w:rPr>
          <w:rFonts w:hint="eastAsia" w:ascii="宋体" w:hAnsi="宋体" w:cs="Times New Roman"/>
          <w:szCs w:val="24"/>
        </w:rPr>
        <w:t>两大工作室，齐头并进，共同推进学科组的建设。</w:t>
      </w:r>
    </w:p>
    <w:tbl>
      <w:tblPr>
        <w:tblStyle w:val="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5"/>
        <w:gridCol w:w="1965"/>
        <w:gridCol w:w="5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shd w:val="clear" w:color="auto" w:fill="auto"/>
          </w:tcPr>
          <w:p>
            <w:pPr>
              <w:snapToGrid w:val="0"/>
              <w:spacing w:line="312" w:lineRule="auto"/>
              <w:rPr>
                <w:rFonts w:ascii="宋体" w:hAnsi="宋体" w:cs="Times New Roman"/>
                <w:szCs w:val="24"/>
              </w:rPr>
            </w:pPr>
            <w:r>
              <w:rPr>
                <w:rFonts w:hint="eastAsia" w:ascii="宋体" w:hAnsi="宋体" w:cs="Times New Roman"/>
                <w:szCs w:val="24"/>
              </w:rPr>
              <w:t>项目组名称</w:t>
            </w:r>
          </w:p>
        </w:tc>
        <w:tc>
          <w:tcPr>
            <w:tcW w:w="1965" w:type="dxa"/>
            <w:shd w:val="clear" w:color="auto" w:fill="auto"/>
          </w:tcPr>
          <w:p>
            <w:pPr>
              <w:snapToGrid w:val="0"/>
              <w:spacing w:line="312" w:lineRule="auto"/>
              <w:rPr>
                <w:rFonts w:ascii="宋体" w:hAnsi="宋体" w:cs="Times New Roman"/>
                <w:szCs w:val="24"/>
              </w:rPr>
            </w:pPr>
            <w:r>
              <w:rPr>
                <w:rFonts w:hint="eastAsia" w:ascii="宋体" w:hAnsi="宋体" w:cs="Times New Roman"/>
                <w:szCs w:val="24"/>
              </w:rPr>
              <w:t>项目组负责人</w:t>
            </w:r>
          </w:p>
        </w:tc>
        <w:tc>
          <w:tcPr>
            <w:tcW w:w="5234" w:type="dxa"/>
            <w:shd w:val="clear" w:color="auto" w:fill="auto"/>
          </w:tcPr>
          <w:p>
            <w:pPr>
              <w:snapToGrid w:val="0"/>
              <w:spacing w:line="312" w:lineRule="auto"/>
              <w:rPr>
                <w:rFonts w:ascii="宋体" w:hAnsi="宋体" w:cs="Times New Roman"/>
                <w:szCs w:val="24"/>
              </w:rPr>
            </w:pPr>
            <w:r>
              <w:rPr>
                <w:rFonts w:hint="eastAsia" w:ascii="宋体" w:hAnsi="宋体" w:cs="Times New Roman"/>
                <w:szCs w:val="24"/>
              </w:rPr>
              <w:t>项目组核心成员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shd w:val="clear" w:color="auto" w:fill="auto"/>
          </w:tcPr>
          <w:p>
            <w:pPr>
              <w:snapToGrid w:val="0"/>
              <w:spacing w:line="312" w:lineRule="auto"/>
              <w:rPr>
                <w:rFonts w:ascii="宋体" w:hAnsi="宋体" w:cs="Times New Roman"/>
                <w:szCs w:val="24"/>
              </w:rPr>
            </w:pPr>
            <w:r>
              <w:rPr>
                <w:rFonts w:hint="eastAsia" w:ascii="宋体" w:hAnsi="宋体" w:cs="Times New Roman"/>
                <w:szCs w:val="24"/>
              </w:rPr>
              <w:t>教材解读工作室</w:t>
            </w:r>
          </w:p>
        </w:tc>
        <w:tc>
          <w:tcPr>
            <w:tcW w:w="1965" w:type="dxa"/>
            <w:shd w:val="clear" w:color="auto" w:fill="auto"/>
          </w:tcPr>
          <w:p>
            <w:pPr>
              <w:snapToGrid w:val="0"/>
              <w:spacing w:line="312" w:lineRule="auto"/>
              <w:rPr>
                <w:rFonts w:ascii="宋体" w:hAnsi="宋体" w:cs="Times New Roman"/>
                <w:szCs w:val="24"/>
              </w:rPr>
            </w:pPr>
            <w:r>
              <w:rPr>
                <w:rFonts w:hint="eastAsia" w:ascii="宋体" w:hAnsi="宋体" w:cs="Times New Roman"/>
                <w:szCs w:val="24"/>
              </w:rPr>
              <w:t>荆亚琴</w:t>
            </w:r>
          </w:p>
        </w:tc>
        <w:tc>
          <w:tcPr>
            <w:tcW w:w="5234" w:type="dxa"/>
            <w:shd w:val="clear" w:color="auto" w:fill="auto"/>
          </w:tcPr>
          <w:p>
            <w:pPr>
              <w:snapToGrid w:val="0"/>
              <w:spacing w:line="312" w:lineRule="auto"/>
              <w:rPr>
                <w:rFonts w:ascii="宋体" w:hAnsi="宋体" w:cs="Times New Roman"/>
                <w:szCs w:val="24"/>
              </w:rPr>
            </w:pPr>
            <w:r>
              <w:rPr>
                <w:rFonts w:hint="eastAsia" w:ascii="宋体" w:hAnsi="宋体" w:cs="Times New Roman"/>
                <w:szCs w:val="24"/>
              </w:rPr>
              <w:t>季琳、林浩、周丹、孙丹、蒋宁、顾鹏飞、朱莹、王凤昌、耿云、杨建芬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shd w:val="clear" w:color="auto" w:fill="auto"/>
          </w:tcPr>
          <w:p>
            <w:pPr>
              <w:snapToGrid w:val="0"/>
              <w:spacing w:line="312" w:lineRule="auto"/>
              <w:rPr>
                <w:rFonts w:ascii="宋体" w:hAnsi="宋体" w:cs="Times New Roman"/>
                <w:szCs w:val="24"/>
              </w:rPr>
            </w:pPr>
            <w:r>
              <w:rPr>
                <w:rFonts w:hint="eastAsia" w:ascii="宋体" w:hAnsi="宋体" w:cs="Times New Roman"/>
                <w:szCs w:val="24"/>
              </w:rPr>
              <w:t>数字化工作室</w:t>
            </w:r>
          </w:p>
        </w:tc>
        <w:tc>
          <w:tcPr>
            <w:tcW w:w="1965" w:type="dxa"/>
            <w:shd w:val="clear" w:color="auto" w:fill="auto"/>
          </w:tcPr>
          <w:p>
            <w:pPr>
              <w:snapToGrid w:val="0"/>
              <w:spacing w:line="312" w:lineRule="auto"/>
              <w:rPr>
                <w:rFonts w:ascii="宋体" w:hAnsi="宋体" w:cs="Times New Roman"/>
                <w:szCs w:val="24"/>
              </w:rPr>
            </w:pPr>
            <w:r>
              <w:rPr>
                <w:rFonts w:hint="eastAsia" w:ascii="宋体" w:hAnsi="宋体" w:cs="Times New Roman"/>
                <w:szCs w:val="24"/>
              </w:rPr>
              <w:t xml:space="preserve">蔡芬 </w:t>
            </w:r>
          </w:p>
        </w:tc>
        <w:tc>
          <w:tcPr>
            <w:tcW w:w="5234" w:type="dxa"/>
            <w:shd w:val="clear" w:color="auto" w:fill="auto"/>
          </w:tcPr>
          <w:p>
            <w:pPr>
              <w:snapToGrid w:val="0"/>
              <w:spacing w:line="312" w:lineRule="auto"/>
              <w:rPr>
                <w:rFonts w:ascii="宋体" w:hAnsi="宋体" w:cs="Times New Roman"/>
                <w:szCs w:val="24"/>
              </w:rPr>
            </w:pPr>
            <w:r>
              <w:rPr>
                <w:rFonts w:hint="eastAsia" w:ascii="宋体" w:hAnsi="宋体" w:cs="Times New Roman"/>
                <w:szCs w:val="24"/>
              </w:rPr>
              <w:t>何玲洁、朱玥、章叶、许秋明、姜丽娟、徐艳丽、孔钰燕、叶朝阳</w:t>
            </w:r>
          </w:p>
        </w:tc>
      </w:tr>
    </w:tbl>
    <w:p>
      <w:pPr>
        <w:snapToGrid w:val="0"/>
        <w:spacing w:line="312" w:lineRule="auto"/>
        <w:ind w:firstLine="435"/>
        <w:jc w:val="both"/>
        <w:rPr>
          <w:rFonts w:ascii="宋体" w:hAnsi="宋体" w:cs="Times New Roman"/>
          <w:szCs w:val="24"/>
        </w:rPr>
      </w:pPr>
      <w:r>
        <w:rPr>
          <w:rFonts w:hint="eastAsia" w:ascii="宋体" w:hAnsi="宋体" w:cs="Times New Roman"/>
          <w:szCs w:val="24"/>
        </w:rPr>
        <w:t>当然工作室也会以课题为抓手，带动我们组员一起进行研究。</w:t>
      </w:r>
    </w:p>
    <w:p>
      <w:pPr>
        <w:numPr>
          <w:ilvl w:val="0"/>
          <w:numId w:val="4"/>
        </w:numPr>
        <w:snapToGrid w:val="0"/>
        <w:spacing w:line="312" w:lineRule="auto"/>
        <w:ind w:firstLine="602" w:firstLineChars="250"/>
        <w:jc w:val="both"/>
        <w:rPr>
          <w:rFonts w:ascii="宋体" w:hAnsi="宋体" w:cs="Times New Roman"/>
          <w:b/>
          <w:bCs/>
          <w:szCs w:val="24"/>
        </w:rPr>
      </w:pPr>
      <w:r>
        <w:rPr>
          <w:rFonts w:hint="eastAsia" w:ascii="宋体" w:hAnsi="宋体" w:cs="Times New Roman"/>
          <w:b/>
          <w:bCs/>
          <w:szCs w:val="24"/>
        </w:rPr>
        <w:t>多维修炼，提升能力</w:t>
      </w:r>
    </w:p>
    <w:p>
      <w:pPr>
        <w:spacing w:line="312" w:lineRule="auto"/>
        <w:ind w:firstLine="480" w:firstLineChars="200"/>
        <w:jc w:val="both"/>
        <w:rPr>
          <w:rFonts w:ascii="宋体" w:hAnsi="宋体" w:cs="Times New Roman"/>
          <w:szCs w:val="24"/>
        </w:rPr>
      </w:pPr>
      <w:r>
        <w:rPr>
          <w:rFonts w:hint="eastAsia" w:ascii="宋体" w:hAnsi="宋体" w:cs="Times New Roman"/>
          <w:szCs w:val="24"/>
        </w:rPr>
        <w:t>围绕“新基础教育”课型研究成果，进一步落实各层次、各梯队教师教学行为的转型、深化。鼓励教师通过不同方式创新式、个性化吸收</w:t>
      </w:r>
      <w:r>
        <w:rPr>
          <w:rFonts w:ascii="宋体" w:hAnsi="宋体" w:cs="Times New Roman"/>
          <w:szCs w:val="24"/>
        </w:rPr>
        <w:t>“新基础教育”</w:t>
      </w:r>
      <w:r>
        <w:rPr>
          <w:rFonts w:hint="eastAsia" w:ascii="宋体" w:hAnsi="宋体" w:cs="Times New Roman"/>
          <w:szCs w:val="24"/>
        </w:rPr>
        <w:t>研究数学学科相关成果，注重常州课特色的学习和融入，具体化为自身教学行为的理解。</w:t>
      </w:r>
    </w:p>
    <w:p>
      <w:pPr>
        <w:snapToGrid w:val="0"/>
        <w:spacing w:line="312" w:lineRule="auto"/>
        <w:ind w:firstLine="480" w:firstLineChars="200"/>
        <w:rPr>
          <w:rFonts w:ascii="宋体" w:hAnsi="宋体" w:cs="Times New Roman"/>
          <w:szCs w:val="24"/>
        </w:rPr>
      </w:pPr>
      <w:r>
        <w:rPr>
          <w:rFonts w:hint="eastAsia" w:ascii="宋体" w:hAnsi="宋体" w:cs="Times New Roman"/>
          <w:szCs w:val="24"/>
        </w:rPr>
        <w:t>重点突出以下几个方面：</w:t>
      </w:r>
    </w:p>
    <w:p>
      <w:pPr>
        <w:snapToGrid w:val="0"/>
        <w:spacing w:line="312" w:lineRule="auto"/>
        <w:ind w:firstLine="482" w:firstLineChars="200"/>
        <w:rPr>
          <w:rFonts w:ascii="宋体" w:hAnsi="宋体" w:cs="Times New Roman"/>
          <w:szCs w:val="24"/>
        </w:rPr>
      </w:pPr>
      <w:r>
        <w:rPr>
          <w:rFonts w:hint="eastAsia" w:ascii="宋体" w:hAnsi="宋体" w:cs="Times New Roman"/>
          <w:b/>
          <w:bCs/>
          <w:szCs w:val="24"/>
        </w:rPr>
        <w:t>（1）以教材解读为基础，提高教师独立备课能力。</w:t>
      </w:r>
      <w:r>
        <w:rPr>
          <w:rFonts w:hint="eastAsia" w:ascii="宋体" w:hAnsi="宋体" w:cs="Times New Roman"/>
          <w:szCs w:val="24"/>
        </w:rPr>
        <w:t>有了一份完善的教案，上好一堂课对很多老师来说难度系数降低了很多，而独立备课其实难倒了很多的教师。在提升教材解读的能力的基础上逐步提升独立备课的能力。那在研究日活动安排中，或者集体备课中我们也会安排一些限时备课的互动，让大家真正的有实践、有提升。</w:t>
      </w:r>
    </w:p>
    <w:p>
      <w:pPr>
        <w:snapToGrid w:val="0"/>
        <w:spacing w:line="312" w:lineRule="auto"/>
        <w:ind w:firstLine="482" w:firstLineChars="200"/>
        <w:rPr>
          <w:rFonts w:ascii="宋体" w:hAnsi="宋体" w:cs="Times New Roman"/>
          <w:szCs w:val="24"/>
        </w:rPr>
      </w:pPr>
      <w:r>
        <w:rPr>
          <w:rFonts w:hint="eastAsia" w:ascii="宋体" w:hAnsi="宋体" w:cs="Times New Roman"/>
          <w:b/>
          <w:bCs/>
          <w:szCs w:val="24"/>
        </w:rPr>
        <w:t>（2）以课例研究为载体，提高教师课堂教学水平。</w:t>
      </w:r>
      <w:r>
        <w:rPr>
          <w:rFonts w:hint="eastAsia" w:ascii="宋体" w:hAnsi="宋体" w:cs="Times New Roman"/>
          <w:szCs w:val="24"/>
        </w:rPr>
        <w:t>即我们所说的“磨课”，围绕实践课不断地切磋、商讨、设计、实践、反思、修改、再设计、再实践、再总结的循环过程。通过“磨”达到“合”——教与学的融合，理念与实践的融合。那在研究课的安排中我们也注重了教学内容、教学方法的研究，当然也注重了骨干教师的展示课堂、成熟教师的课堂提升、青年教师和新教师的课堂规范。</w:t>
      </w:r>
    </w:p>
    <w:p>
      <w:pPr>
        <w:snapToGrid w:val="0"/>
        <w:spacing w:line="312" w:lineRule="auto"/>
        <w:ind w:firstLine="482" w:firstLineChars="200"/>
        <w:rPr>
          <w:rFonts w:ascii="宋体" w:hAnsi="宋体" w:cs="Times New Roman"/>
          <w:szCs w:val="24"/>
        </w:rPr>
      </w:pPr>
      <w:r>
        <w:rPr>
          <w:rFonts w:hint="eastAsia" w:ascii="宋体" w:hAnsi="宋体" w:cs="Times New Roman"/>
          <w:b/>
          <w:bCs/>
          <w:szCs w:val="24"/>
        </w:rPr>
        <w:t>（3）以课堂研究为抓手，提炼课堂教学规程。</w:t>
      </w:r>
      <w:r>
        <w:rPr>
          <w:rFonts w:hint="eastAsia" w:ascii="宋体" w:hAnsi="宋体" w:cs="Times New Roman"/>
          <w:szCs w:val="24"/>
        </w:rPr>
        <w:t>从去年开始我们的听评课沿用的还是我们老校的诗意规程表格，从今年开始，我们会在实践中提炼出符合我们</w:t>
      </w:r>
      <w:r>
        <w:rPr>
          <w:rFonts w:hint="eastAsia" w:ascii="宋体" w:hAnsi="宋体" w:cs="Times New Roman"/>
          <w:szCs w:val="21"/>
        </w:rPr>
        <w:t>“弘雅数学课堂”特色即向美、挑战、生长的弘雅数学课堂规程。那在使用过程中如果有需要修改的，我们会进行调整。今年我们依然以听常态课为主。不打招呼，直接走进课堂，看到最真实的课堂，寻找最真实的问题，解决问题。</w:t>
      </w:r>
    </w:p>
    <w:p>
      <w:pPr>
        <w:snapToGrid w:val="0"/>
        <w:spacing w:line="312" w:lineRule="auto"/>
        <w:ind w:firstLine="482" w:firstLineChars="200"/>
        <w:rPr>
          <w:rFonts w:ascii="宋体" w:hAnsi="宋体" w:cs="Times New Roman"/>
          <w:szCs w:val="24"/>
        </w:rPr>
      </w:pPr>
      <w:r>
        <w:rPr>
          <w:rFonts w:hint="eastAsia" w:ascii="宋体" w:hAnsi="宋体" w:cs="Times New Roman"/>
          <w:b/>
          <w:bCs/>
          <w:szCs w:val="24"/>
        </w:rPr>
        <w:t>（4）以课题研究为切入点，提高教师的科研能力。</w:t>
      </w:r>
      <w:r>
        <w:rPr>
          <w:rFonts w:hint="eastAsia" w:ascii="宋体" w:hAnsi="宋体" w:cs="Times New Roman"/>
          <w:szCs w:val="21"/>
        </w:rPr>
        <w:t>在学校已有的5大课题的研究带领下，</w:t>
      </w:r>
      <w:r>
        <w:rPr>
          <w:rFonts w:hint="eastAsia" w:ascii="宋体" w:hAnsi="宋体" w:cs="Times New Roman"/>
          <w:szCs w:val="24"/>
        </w:rPr>
        <w:t>开学初，根据学校大课题的方向，每个教研组选择一个合适自己的、切实可行的、有研究价值的课题，作为学校内的小课题。当然在课题研究的具体过程中还是会寻找专家给予指导和点评。</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20"/>
        <w:gridCol w:w="1701"/>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20" w:type="dxa"/>
            <w:vAlign w:val="center"/>
          </w:tcPr>
          <w:p>
            <w:pPr>
              <w:spacing w:line="540" w:lineRule="exact"/>
              <w:jc w:val="center"/>
              <w:rPr>
                <w:rFonts w:ascii="宋体" w:hAnsi="宋体" w:cs="宋体"/>
                <w:b/>
                <w:szCs w:val="24"/>
              </w:rPr>
            </w:pPr>
            <w:r>
              <w:rPr>
                <w:rFonts w:hint="eastAsia" w:ascii="宋体" w:hAnsi="宋体" w:cs="宋体"/>
                <w:b/>
                <w:szCs w:val="24"/>
              </w:rPr>
              <w:t>课题名称</w:t>
            </w:r>
          </w:p>
        </w:tc>
        <w:tc>
          <w:tcPr>
            <w:tcW w:w="1701" w:type="dxa"/>
            <w:vAlign w:val="center"/>
          </w:tcPr>
          <w:p>
            <w:pPr>
              <w:spacing w:line="540" w:lineRule="exact"/>
              <w:jc w:val="center"/>
              <w:rPr>
                <w:rFonts w:ascii="宋体" w:hAnsi="宋体" w:cs="宋体"/>
                <w:b/>
                <w:szCs w:val="24"/>
              </w:rPr>
            </w:pPr>
            <w:r>
              <w:rPr>
                <w:rFonts w:hint="eastAsia" w:ascii="宋体" w:hAnsi="宋体" w:cs="宋体"/>
                <w:b/>
                <w:szCs w:val="24"/>
              </w:rPr>
              <w:t>主持者</w:t>
            </w:r>
          </w:p>
        </w:tc>
        <w:tc>
          <w:tcPr>
            <w:tcW w:w="901" w:type="dxa"/>
            <w:vAlign w:val="center"/>
          </w:tcPr>
          <w:p>
            <w:pPr>
              <w:spacing w:line="540" w:lineRule="exact"/>
              <w:jc w:val="center"/>
              <w:rPr>
                <w:rFonts w:ascii="宋体" w:hAnsi="宋体" w:cs="宋体"/>
                <w:b/>
                <w:szCs w:val="24"/>
              </w:rPr>
            </w:pPr>
            <w:r>
              <w:rPr>
                <w:rFonts w:hint="eastAsia" w:ascii="宋体" w:hAnsi="宋体" w:cs="宋体"/>
                <w:b/>
                <w:szCs w:val="24"/>
              </w:rPr>
              <w:t>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20" w:type="dxa"/>
            <w:vAlign w:val="center"/>
          </w:tcPr>
          <w:p>
            <w:pPr>
              <w:spacing w:line="540" w:lineRule="exact"/>
              <w:rPr>
                <w:rFonts w:ascii="宋体" w:hAnsi="宋体" w:cs="宋体"/>
                <w:szCs w:val="24"/>
              </w:rPr>
            </w:pPr>
            <w:r>
              <w:rPr>
                <w:rFonts w:hint="eastAsia" w:ascii="宋体" w:hAnsi="宋体" w:cs="宋体"/>
                <w:szCs w:val="24"/>
              </w:rPr>
              <w:t>《小学数学教材专业化解读能力培养的策略研究》</w:t>
            </w:r>
          </w:p>
        </w:tc>
        <w:tc>
          <w:tcPr>
            <w:tcW w:w="1701" w:type="dxa"/>
            <w:vAlign w:val="center"/>
          </w:tcPr>
          <w:p>
            <w:pPr>
              <w:spacing w:line="540" w:lineRule="exact"/>
              <w:jc w:val="center"/>
              <w:rPr>
                <w:rFonts w:ascii="宋体" w:hAnsi="宋体" w:cs="宋体"/>
                <w:szCs w:val="24"/>
              </w:rPr>
            </w:pPr>
            <w:r>
              <w:rPr>
                <w:rFonts w:hint="eastAsia" w:ascii="宋体" w:hAnsi="宋体" w:cs="宋体"/>
                <w:szCs w:val="24"/>
              </w:rPr>
              <w:t>荆亚琴 主持</w:t>
            </w:r>
          </w:p>
        </w:tc>
        <w:tc>
          <w:tcPr>
            <w:tcW w:w="901" w:type="dxa"/>
            <w:vAlign w:val="center"/>
          </w:tcPr>
          <w:p>
            <w:pPr>
              <w:spacing w:line="540" w:lineRule="exact"/>
              <w:jc w:val="center"/>
              <w:rPr>
                <w:rFonts w:ascii="宋体" w:hAnsi="宋体" w:cs="宋体"/>
                <w:szCs w:val="24"/>
              </w:rPr>
            </w:pPr>
            <w:r>
              <w:rPr>
                <w:rFonts w:hint="eastAsia" w:ascii="宋体" w:hAnsi="宋体" w:cs="宋体"/>
                <w:szCs w:val="24"/>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20" w:type="dxa"/>
            <w:vAlign w:val="center"/>
          </w:tcPr>
          <w:p>
            <w:pPr>
              <w:spacing w:line="540" w:lineRule="exact"/>
              <w:rPr>
                <w:rFonts w:ascii="宋体" w:hAnsi="宋体" w:cs="宋体"/>
                <w:szCs w:val="24"/>
              </w:rPr>
            </w:pPr>
            <w:r>
              <w:rPr>
                <w:rFonts w:hint="eastAsia" w:ascii="宋体" w:hAnsi="宋体" w:cs="宋体"/>
                <w:szCs w:val="24"/>
              </w:rPr>
              <w:t>《小学数学课堂生成性学习资源开发与利用的实践研究》</w:t>
            </w:r>
          </w:p>
        </w:tc>
        <w:tc>
          <w:tcPr>
            <w:tcW w:w="1701" w:type="dxa"/>
            <w:vAlign w:val="center"/>
          </w:tcPr>
          <w:p>
            <w:pPr>
              <w:spacing w:line="540" w:lineRule="exact"/>
              <w:jc w:val="center"/>
              <w:rPr>
                <w:rFonts w:ascii="宋体" w:hAnsi="宋体" w:cs="宋体"/>
                <w:szCs w:val="24"/>
              </w:rPr>
            </w:pPr>
            <w:r>
              <w:rPr>
                <w:rFonts w:hint="eastAsia" w:ascii="宋体" w:hAnsi="宋体" w:cs="宋体"/>
                <w:szCs w:val="24"/>
              </w:rPr>
              <w:t>荆亚琴 主持</w:t>
            </w:r>
          </w:p>
        </w:tc>
        <w:tc>
          <w:tcPr>
            <w:tcW w:w="901" w:type="dxa"/>
            <w:vAlign w:val="center"/>
          </w:tcPr>
          <w:p>
            <w:pPr>
              <w:spacing w:line="540" w:lineRule="exact"/>
              <w:jc w:val="center"/>
              <w:rPr>
                <w:rFonts w:ascii="宋体" w:hAnsi="宋体" w:cs="宋体"/>
                <w:szCs w:val="24"/>
              </w:rPr>
            </w:pPr>
            <w:r>
              <w:rPr>
                <w:rFonts w:hint="eastAsia" w:ascii="宋体" w:hAnsi="宋体" w:cs="宋体"/>
                <w:szCs w:val="24"/>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20" w:type="dxa"/>
            <w:vAlign w:val="center"/>
          </w:tcPr>
          <w:p>
            <w:pPr>
              <w:spacing w:line="540" w:lineRule="exact"/>
              <w:rPr>
                <w:rFonts w:ascii="宋体" w:hAnsi="宋体" w:cs="宋体"/>
                <w:szCs w:val="24"/>
              </w:rPr>
            </w:pPr>
            <w:r>
              <w:rPr>
                <w:rFonts w:hint="eastAsia" w:ascii="宋体" w:hAnsi="宋体" w:cs="宋体"/>
                <w:szCs w:val="24"/>
              </w:rPr>
              <w:t>《小学数学复习课结构教学研究》</w:t>
            </w:r>
          </w:p>
        </w:tc>
        <w:tc>
          <w:tcPr>
            <w:tcW w:w="1701" w:type="dxa"/>
            <w:vAlign w:val="center"/>
          </w:tcPr>
          <w:p>
            <w:pPr>
              <w:spacing w:line="540" w:lineRule="exact"/>
              <w:jc w:val="center"/>
              <w:rPr>
                <w:rFonts w:ascii="宋体" w:hAnsi="宋体" w:cs="宋体"/>
                <w:szCs w:val="24"/>
              </w:rPr>
            </w:pPr>
            <w:r>
              <w:rPr>
                <w:rFonts w:hint="eastAsia" w:ascii="宋体" w:hAnsi="宋体" w:cs="宋体"/>
                <w:szCs w:val="24"/>
              </w:rPr>
              <w:t>耿云 主持</w:t>
            </w:r>
          </w:p>
        </w:tc>
        <w:tc>
          <w:tcPr>
            <w:tcW w:w="901" w:type="dxa"/>
            <w:vAlign w:val="center"/>
          </w:tcPr>
          <w:p>
            <w:pPr>
              <w:spacing w:line="540" w:lineRule="exact"/>
              <w:jc w:val="center"/>
              <w:rPr>
                <w:rFonts w:ascii="宋体" w:hAnsi="宋体" w:cs="宋体"/>
                <w:szCs w:val="24"/>
              </w:rPr>
            </w:pPr>
            <w:r>
              <w:rPr>
                <w:rFonts w:hint="eastAsia" w:ascii="宋体" w:hAnsi="宋体" w:cs="宋体"/>
                <w:szCs w:val="24"/>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20" w:type="dxa"/>
            <w:vAlign w:val="center"/>
          </w:tcPr>
          <w:p>
            <w:pPr>
              <w:spacing w:line="540" w:lineRule="exact"/>
              <w:rPr>
                <w:rFonts w:ascii="宋体" w:hAnsi="宋体" w:cs="宋体"/>
                <w:szCs w:val="24"/>
              </w:rPr>
            </w:pPr>
            <w:r>
              <w:rPr>
                <w:rFonts w:ascii="宋体" w:hAnsi="宋体" w:cs="宋体"/>
                <w:szCs w:val="24"/>
              </w:rPr>
              <w:t>《基于“儿童自然科学院”的小学数学课程校本化实施研究》</w:t>
            </w:r>
          </w:p>
        </w:tc>
        <w:tc>
          <w:tcPr>
            <w:tcW w:w="1701" w:type="dxa"/>
            <w:vAlign w:val="center"/>
          </w:tcPr>
          <w:p>
            <w:pPr>
              <w:spacing w:line="540" w:lineRule="exact"/>
              <w:jc w:val="center"/>
              <w:rPr>
                <w:rFonts w:ascii="宋体" w:hAnsi="宋体" w:cs="宋体"/>
                <w:szCs w:val="24"/>
              </w:rPr>
            </w:pPr>
            <w:r>
              <w:rPr>
                <w:rFonts w:hint="eastAsia" w:ascii="宋体" w:hAnsi="宋体" w:cs="宋体"/>
                <w:szCs w:val="24"/>
              </w:rPr>
              <w:t>姜丽娟 参与</w:t>
            </w:r>
          </w:p>
        </w:tc>
        <w:tc>
          <w:tcPr>
            <w:tcW w:w="901" w:type="dxa"/>
            <w:vAlign w:val="center"/>
          </w:tcPr>
          <w:p>
            <w:pPr>
              <w:spacing w:line="540" w:lineRule="exact"/>
              <w:jc w:val="center"/>
              <w:rPr>
                <w:rFonts w:ascii="宋体" w:hAnsi="宋体" w:cs="宋体"/>
                <w:szCs w:val="24"/>
              </w:rPr>
            </w:pPr>
            <w:r>
              <w:rPr>
                <w:rFonts w:hint="eastAsia" w:ascii="宋体" w:hAnsi="宋体" w:cs="宋体"/>
                <w:szCs w:val="24"/>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20" w:type="dxa"/>
            <w:vAlign w:val="center"/>
          </w:tcPr>
          <w:p>
            <w:pPr>
              <w:spacing w:line="540" w:lineRule="exact"/>
              <w:rPr>
                <w:rFonts w:ascii="宋体" w:hAnsi="宋体" w:cs="宋体"/>
                <w:szCs w:val="24"/>
              </w:rPr>
            </w:pPr>
            <w:r>
              <w:rPr>
                <w:rFonts w:hint="eastAsia" w:ascii="宋体" w:hAnsi="宋体" w:cs="宋体"/>
                <w:szCs w:val="24"/>
              </w:rPr>
              <w:t>《“区块链”理念下学习资源开发、转化的实践研究》</w:t>
            </w:r>
          </w:p>
        </w:tc>
        <w:tc>
          <w:tcPr>
            <w:tcW w:w="1701" w:type="dxa"/>
            <w:vAlign w:val="center"/>
          </w:tcPr>
          <w:p>
            <w:pPr>
              <w:spacing w:line="540" w:lineRule="exact"/>
              <w:jc w:val="center"/>
              <w:rPr>
                <w:rFonts w:ascii="宋体" w:hAnsi="宋体" w:cs="宋体"/>
                <w:szCs w:val="24"/>
              </w:rPr>
            </w:pPr>
            <w:r>
              <w:rPr>
                <w:rFonts w:hint="eastAsia" w:ascii="宋体" w:hAnsi="宋体" w:cs="宋体"/>
                <w:szCs w:val="24"/>
              </w:rPr>
              <w:t>蔡芬 主持</w:t>
            </w:r>
          </w:p>
        </w:tc>
        <w:tc>
          <w:tcPr>
            <w:tcW w:w="901" w:type="dxa"/>
            <w:vAlign w:val="center"/>
          </w:tcPr>
          <w:p>
            <w:pPr>
              <w:spacing w:line="540" w:lineRule="exact"/>
              <w:jc w:val="center"/>
              <w:rPr>
                <w:rFonts w:ascii="宋体" w:hAnsi="宋体" w:cs="宋体"/>
                <w:szCs w:val="24"/>
              </w:rPr>
            </w:pPr>
            <w:r>
              <w:rPr>
                <w:rFonts w:hint="eastAsia" w:ascii="宋体" w:hAnsi="宋体" w:cs="宋体"/>
                <w:szCs w:val="24"/>
              </w:rPr>
              <w:t>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20" w:type="dxa"/>
            <w:vAlign w:val="center"/>
          </w:tcPr>
          <w:p>
            <w:pPr>
              <w:spacing w:line="540" w:lineRule="exact"/>
              <w:rPr>
                <w:rFonts w:ascii="宋体" w:hAnsi="宋体" w:cs="宋体"/>
                <w:szCs w:val="24"/>
              </w:rPr>
            </w:pPr>
            <w:r>
              <w:rPr>
                <w:rFonts w:hint="eastAsia" w:ascii="宋体" w:hAnsi="宋体" w:cs="宋体"/>
                <w:szCs w:val="24"/>
              </w:rPr>
              <w:t>《小学数学教师板书设计能力提升的策略与研究》</w:t>
            </w:r>
          </w:p>
        </w:tc>
        <w:tc>
          <w:tcPr>
            <w:tcW w:w="1701" w:type="dxa"/>
            <w:vAlign w:val="center"/>
          </w:tcPr>
          <w:p>
            <w:pPr>
              <w:spacing w:line="540" w:lineRule="exact"/>
              <w:jc w:val="center"/>
              <w:rPr>
                <w:rFonts w:ascii="宋体" w:hAnsi="宋体" w:cs="宋体"/>
                <w:szCs w:val="24"/>
              </w:rPr>
            </w:pPr>
            <w:r>
              <w:rPr>
                <w:rFonts w:hint="eastAsia" w:ascii="宋体" w:hAnsi="宋体" w:cs="宋体"/>
                <w:szCs w:val="24"/>
              </w:rPr>
              <w:t>何玲洁 主持</w:t>
            </w:r>
          </w:p>
        </w:tc>
        <w:tc>
          <w:tcPr>
            <w:tcW w:w="901" w:type="dxa"/>
            <w:vAlign w:val="center"/>
          </w:tcPr>
          <w:p>
            <w:pPr>
              <w:spacing w:line="540" w:lineRule="exact"/>
              <w:jc w:val="center"/>
              <w:rPr>
                <w:rFonts w:ascii="宋体" w:hAnsi="宋体" w:cs="宋体"/>
                <w:szCs w:val="24"/>
              </w:rPr>
            </w:pPr>
            <w:r>
              <w:rPr>
                <w:rFonts w:hint="eastAsia" w:ascii="宋体" w:hAnsi="宋体" w:cs="宋体"/>
                <w:szCs w:val="24"/>
              </w:rPr>
              <w:t>校级</w:t>
            </w:r>
          </w:p>
        </w:tc>
      </w:tr>
    </w:tbl>
    <w:p>
      <w:pPr>
        <w:spacing w:line="312" w:lineRule="auto"/>
        <w:rPr>
          <w:rFonts w:ascii="楷体" w:hAnsi="楷体" w:eastAsia="楷体"/>
          <w:b/>
          <w:bCs/>
          <w:sz w:val="28"/>
          <w:szCs w:val="24"/>
        </w:rPr>
      </w:pPr>
      <w:r>
        <w:rPr>
          <w:rFonts w:hint="eastAsia" w:ascii="楷体" w:hAnsi="楷体" w:eastAsia="楷体"/>
          <w:b/>
          <w:bCs/>
          <w:sz w:val="28"/>
          <w:szCs w:val="24"/>
        </w:rPr>
        <w:t>（三）以活动、计算为抓手，培养学生习惯养成</w:t>
      </w:r>
    </w:p>
    <w:p>
      <w:pPr>
        <w:snapToGrid w:val="0"/>
        <w:spacing w:line="312" w:lineRule="auto"/>
        <w:ind w:firstLine="482" w:firstLineChars="200"/>
        <w:jc w:val="both"/>
        <w:rPr>
          <w:rFonts w:ascii="宋体" w:hAnsi="宋体" w:cs="Times New Roman"/>
          <w:szCs w:val="21"/>
        </w:rPr>
      </w:pPr>
      <w:r>
        <w:rPr>
          <w:rFonts w:hint="eastAsia" w:ascii="宋体" w:hAnsi="宋体" w:cs="Times New Roman"/>
          <w:b/>
          <w:szCs w:val="21"/>
        </w:rPr>
        <w:t>1、推动学生能级培养。</w:t>
      </w:r>
      <w:r>
        <w:rPr>
          <w:rFonts w:hint="eastAsia" w:ascii="宋体" w:hAnsi="宋体" w:cs="Times New Roman"/>
          <w:szCs w:val="21"/>
        </w:rPr>
        <w:t>围绕着“学科关键能力”，以学科素养培养为核心，让数学学科教学走向课程实施，更全面地提升小学数学课程实施水平和学生学业水平。会形成每个年级的能级序列表。</w:t>
      </w:r>
    </w:p>
    <w:p>
      <w:pPr>
        <w:snapToGrid w:val="0"/>
        <w:spacing w:line="312" w:lineRule="auto"/>
        <w:ind w:firstLine="482" w:firstLineChars="200"/>
        <w:jc w:val="both"/>
        <w:rPr>
          <w:rFonts w:ascii="宋体" w:hAnsi="宋体" w:cs="Times New Roman"/>
          <w:szCs w:val="21"/>
        </w:rPr>
      </w:pPr>
      <w:r>
        <w:rPr>
          <w:rFonts w:hint="eastAsia" w:ascii="宋体" w:hAnsi="宋体" w:cs="Times New Roman"/>
          <w:b/>
          <w:szCs w:val="21"/>
        </w:rPr>
        <w:t>2、完善学力评估系统。</w:t>
      </w:r>
      <w:r>
        <w:rPr>
          <w:rFonts w:hint="eastAsia" w:ascii="宋体" w:hAnsi="宋体" w:cs="Times New Roman"/>
          <w:szCs w:val="21"/>
        </w:rPr>
        <w:t>从“关心、关爱、关联”的人格建构及知识、思维三个维度进行统整，强调和谐关系的养成和学生智慧的发展。利用午间微课程进行数学阅读，利用家庭资源促进课外延伸。不仅从学科成绩，也从活动参与、数学论文等多方面对学生进行评价。持续关注孩子常规培养：倾听、表达、合作。每个年段形成每个年段的学科素养评价表。</w:t>
      </w:r>
    </w:p>
    <w:p>
      <w:pPr>
        <w:pStyle w:val="11"/>
        <w:spacing w:line="440" w:lineRule="exact"/>
        <w:ind w:firstLine="482"/>
        <w:rPr>
          <w:rFonts w:ascii="宋体" w:hAnsi="宋体" w:cs="Times New Roman"/>
          <w:b/>
          <w:szCs w:val="21"/>
        </w:rPr>
      </w:pPr>
      <w:r>
        <w:rPr>
          <w:rFonts w:hint="eastAsia" w:ascii="宋体" w:hAnsi="宋体" w:cs="Times New Roman"/>
          <w:b/>
          <w:szCs w:val="21"/>
        </w:rPr>
        <w:t>3、计算考核常态化。</w:t>
      </w:r>
      <w:r>
        <w:rPr>
          <w:rFonts w:hint="eastAsia" w:ascii="宋体" w:hAnsi="宋体" w:cs="宋体"/>
          <w:szCs w:val="24"/>
        </w:rPr>
        <w:t>计算一直是我们数学的重中之重。重新制定出新的能级序列，每个学期的计算考核必须按要求过关。每天老师必须布置相应的口算和竖式计算。希望通过一年的练习，学生的计算能力能有整体的大幅提升。</w:t>
      </w:r>
    </w:p>
    <w:p>
      <w:pPr>
        <w:snapToGrid w:val="0"/>
        <w:spacing w:line="312" w:lineRule="auto"/>
        <w:ind w:firstLine="482" w:firstLineChars="200"/>
        <w:jc w:val="both"/>
        <w:rPr>
          <w:rFonts w:ascii="宋体" w:hAnsi="宋体" w:cs="Times New Roman"/>
          <w:szCs w:val="21"/>
        </w:rPr>
      </w:pPr>
      <w:r>
        <w:rPr>
          <w:rFonts w:hint="eastAsia" w:ascii="宋体" w:hAnsi="宋体" w:cs="Times New Roman"/>
          <w:b/>
          <w:szCs w:val="21"/>
        </w:rPr>
        <w:t>4、促进学生全面提升。</w:t>
      </w:r>
      <w:r>
        <w:rPr>
          <w:rFonts w:hint="eastAsia" w:ascii="宋体" w:hAnsi="宋体" w:cs="Times New Roman"/>
          <w:szCs w:val="21"/>
        </w:rPr>
        <w:t>基于学生成长研究，了解学生知识、技能水平、兴趣爱好和需要、思维特点和学习能力、思想状况和学习习惯等方面所存在的共性及个性差异，精心设计教学过程，增强练习的针对性和有效性，唤醒学生的主体意识，将假期作业与开学课程、日常教学相结合，如形成24点手册、班级布置材料……落实学生的主体地位。形成更加适合学生的诗意活动，促进不同层次学生获得真实发展，激发学生学习数学的兴趣，文化节的专题化实施。</w:t>
      </w:r>
    </w:p>
    <w:p>
      <w:pPr>
        <w:snapToGrid w:val="0"/>
        <w:spacing w:line="312" w:lineRule="auto"/>
        <w:ind w:firstLine="480" w:firstLineChars="200"/>
        <w:jc w:val="both"/>
        <w:rPr>
          <w:rFonts w:ascii="宋体" w:hAnsi="宋体" w:cs="Times New Roman"/>
          <w:szCs w:val="21"/>
        </w:rPr>
      </w:pPr>
      <w:r>
        <w:rPr>
          <w:rFonts w:hint="eastAsia" w:ascii="宋体" w:hAnsi="宋体" w:cs="Times New Roman"/>
          <w:szCs w:val="21"/>
        </w:rPr>
        <w:t>学生的数学学习习惯，主要有以下几个组成部分</w:t>
      </w:r>
      <w:r>
        <w:rPr>
          <w:rFonts w:ascii="宋体" w:hAnsi="宋体" w:cs="Times New Roman"/>
          <w:szCs w:val="21"/>
        </w:rPr>
        <w:t>:</w:t>
      </w:r>
    </w:p>
    <w:p>
      <w:pPr>
        <w:snapToGrid w:val="0"/>
        <w:spacing w:line="312" w:lineRule="auto"/>
        <w:ind w:firstLine="480" w:firstLineChars="200"/>
        <w:jc w:val="both"/>
        <w:rPr>
          <w:rFonts w:ascii="宋体" w:hAnsi="宋体" w:cs="Times New Roman"/>
          <w:szCs w:val="21"/>
        </w:rPr>
      </w:pPr>
      <w:r>
        <w:rPr>
          <w:rFonts w:ascii="宋体" w:hAnsi="宋体" w:cs="Times New Roman"/>
          <w:szCs w:val="21"/>
        </w:rPr>
        <w:t>1</w:t>
      </w:r>
      <w:r>
        <w:rPr>
          <w:rFonts w:hint="eastAsia" w:ascii="宋体" w:hAnsi="宋体" w:cs="Times New Roman"/>
          <w:szCs w:val="21"/>
        </w:rPr>
        <w:t>是课堂认真专心的习惯；</w:t>
      </w:r>
      <w:r>
        <w:rPr>
          <w:rFonts w:ascii="宋体" w:hAnsi="宋体" w:cs="Times New Roman"/>
          <w:szCs w:val="21"/>
        </w:rPr>
        <w:t>2</w:t>
      </w:r>
      <w:r>
        <w:rPr>
          <w:rFonts w:hint="eastAsia" w:ascii="宋体" w:hAnsi="宋体" w:cs="Times New Roman"/>
          <w:szCs w:val="21"/>
        </w:rPr>
        <w:t>是自觉完成作业习惯；</w:t>
      </w:r>
      <w:r>
        <w:rPr>
          <w:rFonts w:ascii="宋体" w:hAnsi="宋体" w:cs="Times New Roman"/>
          <w:szCs w:val="21"/>
        </w:rPr>
        <w:t>3</w:t>
      </w:r>
      <w:r>
        <w:rPr>
          <w:rFonts w:hint="eastAsia" w:ascii="宋体" w:hAnsi="宋体" w:cs="Times New Roman"/>
          <w:szCs w:val="21"/>
        </w:rPr>
        <w:t>是生活中养成数学思维方式。而在现实中，学生存在着诸多不良的学习习惯，原因也是多样的，有教师方面的因素、家庭因素、社会因素、学生个人因素等。</w:t>
      </w:r>
    </w:p>
    <w:p>
      <w:pPr>
        <w:snapToGrid w:val="0"/>
        <w:spacing w:line="312" w:lineRule="auto"/>
        <w:ind w:firstLine="480" w:firstLineChars="200"/>
        <w:jc w:val="both"/>
        <w:rPr>
          <w:rFonts w:ascii="宋体" w:hAnsi="宋体" w:cs="Times New Roman"/>
          <w:szCs w:val="21"/>
        </w:rPr>
      </w:pPr>
      <w:r>
        <w:rPr>
          <w:rFonts w:hint="eastAsia" w:ascii="宋体" w:hAnsi="宋体" w:cs="Times New Roman"/>
          <w:szCs w:val="21"/>
        </w:rPr>
        <w:t>培养学生良好数学学习习惯对策：</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5989"/>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snapToGrid w:val="0"/>
              <w:spacing w:line="312" w:lineRule="auto"/>
              <w:jc w:val="both"/>
              <w:rPr>
                <w:rFonts w:ascii="宋体" w:hAnsi="宋体" w:cs="Times New Roman"/>
                <w:szCs w:val="21"/>
              </w:rPr>
            </w:pPr>
            <w:r>
              <w:rPr>
                <w:rFonts w:hint="eastAsia" w:ascii="宋体" w:hAnsi="宋体" w:cs="Times New Roman"/>
                <w:szCs w:val="21"/>
              </w:rPr>
              <w:t>数学学习习惯</w:t>
            </w:r>
          </w:p>
        </w:tc>
        <w:tc>
          <w:tcPr>
            <w:tcW w:w="5989" w:type="dxa"/>
          </w:tcPr>
          <w:p>
            <w:pPr>
              <w:snapToGrid w:val="0"/>
              <w:spacing w:line="312" w:lineRule="auto"/>
              <w:jc w:val="both"/>
              <w:rPr>
                <w:rFonts w:ascii="宋体" w:hAnsi="宋体" w:cs="Times New Roman"/>
                <w:szCs w:val="21"/>
              </w:rPr>
            </w:pPr>
            <w:r>
              <w:rPr>
                <w:rFonts w:hint="eastAsia" w:ascii="宋体" w:hAnsi="宋体" w:cs="Times New Roman"/>
                <w:szCs w:val="21"/>
              </w:rPr>
              <w:t>教师</w:t>
            </w:r>
          </w:p>
        </w:tc>
        <w:tc>
          <w:tcPr>
            <w:tcW w:w="2516" w:type="dxa"/>
          </w:tcPr>
          <w:p>
            <w:pPr>
              <w:snapToGrid w:val="0"/>
              <w:spacing w:line="312" w:lineRule="auto"/>
              <w:jc w:val="both"/>
              <w:rPr>
                <w:rFonts w:ascii="宋体" w:hAnsi="宋体" w:cs="Times New Roman"/>
                <w:szCs w:val="21"/>
              </w:rPr>
            </w:pPr>
            <w:r>
              <w:rPr>
                <w:rFonts w:hint="eastAsia" w:ascii="宋体" w:hAnsi="宋体" w:cs="Times New Roman"/>
                <w:szCs w:val="21"/>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snapToGrid w:val="0"/>
              <w:spacing w:line="312" w:lineRule="auto"/>
              <w:jc w:val="both"/>
              <w:rPr>
                <w:rFonts w:ascii="宋体" w:hAnsi="宋体" w:cs="Times New Roman"/>
                <w:szCs w:val="21"/>
              </w:rPr>
            </w:pPr>
            <w:r>
              <w:t>课堂认真</w:t>
            </w:r>
            <w:r>
              <w:rPr>
                <w:rFonts w:hint="eastAsia"/>
              </w:rPr>
              <w:t>听讲</w:t>
            </w:r>
            <w:r>
              <w:t>的习惯</w:t>
            </w:r>
          </w:p>
        </w:tc>
        <w:tc>
          <w:tcPr>
            <w:tcW w:w="5989" w:type="dxa"/>
          </w:tcPr>
          <w:p>
            <w:pPr>
              <w:snapToGrid w:val="0"/>
              <w:spacing w:line="312" w:lineRule="auto"/>
              <w:jc w:val="both"/>
            </w:pPr>
            <w:r>
              <w:rPr>
                <w:rFonts w:hint="eastAsia"/>
              </w:rPr>
              <w:t>小老师上课或提问，教师及时补充</w:t>
            </w:r>
          </w:p>
          <w:p>
            <w:pPr>
              <w:snapToGrid w:val="0"/>
              <w:spacing w:line="312" w:lineRule="auto"/>
              <w:jc w:val="both"/>
            </w:pPr>
            <w:r>
              <w:rPr>
                <w:rFonts w:hint="eastAsia"/>
              </w:rPr>
              <w:t>大问题设计</w:t>
            </w:r>
          </w:p>
          <w:p>
            <w:pPr>
              <w:snapToGrid w:val="0"/>
              <w:spacing w:line="312" w:lineRule="auto"/>
              <w:jc w:val="both"/>
              <w:rPr>
                <w:rFonts w:ascii="宋体" w:hAnsi="宋体" w:cs="Times New Roman"/>
                <w:szCs w:val="21"/>
              </w:rPr>
            </w:pPr>
            <w:r>
              <w:rPr>
                <w:rFonts w:hint="eastAsia" w:ascii="宋体" w:hAnsi="宋体" w:cs="Times New Roman"/>
              </w:rPr>
              <w:t>教师关注全体学生</w:t>
            </w:r>
          </w:p>
        </w:tc>
        <w:tc>
          <w:tcPr>
            <w:tcW w:w="2516" w:type="dxa"/>
          </w:tcPr>
          <w:p>
            <w:pPr>
              <w:snapToGrid w:val="0"/>
              <w:spacing w:line="312" w:lineRule="auto"/>
              <w:jc w:val="both"/>
            </w:pPr>
            <w:r>
              <w:rPr>
                <w:rFonts w:hint="eastAsia"/>
              </w:rPr>
              <w:t>上课跟随教师节奏</w:t>
            </w:r>
          </w:p>
          <w:p>
            <w:pPr>
              <w:snapToGrid w:val="0"/>
              <w:spacing w:line="312"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snapToGrid w:val="0"/>
              <w:spacing w:line="312" w:lineRule="auto"/>
              <w:jc w:val="both"/>
              <w:rPr>
                <w:rFonts w:ascii="宋体" w:hAnsi="宋体" w:cs="Times New Roman"/>
                <w:szCs w:val="21"/>
              </w:rPr>
            </w:pPr>
            <w:r>
              <w:t>帮助学生养成认真审题习惯</w:t>
            </w:r>
          </w:p>
        </w:tc>
        <w:tc>
          <w:tcPr>
            <w:tcW w:w="5989" w:type="dxa"/>
          </w:tcPr>
          <w:p>
            <w:pPr>
              <w:snapToGrid w:val="0"/>
              <w:spacing w:line="312" w:lineRule="auto"/>
              <w:jc w:val="both"/>
              <w:rPr>
                <w:rFonts w:ascii="宋体" w:hAnsi="宋体" w:cs="Times New Roman"/>
              </w:rPr>
            </w:pPr>
            <w:r>
              <w:rPr>
                <w:rFonts w:hint="eastAsia" w:ascii="宋体" w:hAnsi="宋体" w:cs="Times New Roman"/>
              </w:rPr>
              <w:t>在教学和讲解过程中教师的第一步要做到审题，起到榜样示范作用</w:t>
            </w:r>
          </w:p>
          <w:p>
            <w:pPr>
              <w:snapToGrid w:val="0"/>
              <w:spacing w:line="312" w:lineRule="auto"/>
              <w:jc w:val="both"/>
              <w:rPr>
                <w:rFonts w:ascii="宋体" w:hAnsi="宋体" w:cs="Times New Roman"/>
                <w:szCs w:val="21"/>
              </w:rPr>
            </w:pPr>
            <w:r>
              <w:rPr>
                <w:rFonts w:hint="eastAsia" w:ascii="宋体" w:hAnsi="宋体" w:cs="Times New Roman"/>
              </w:rPr>
              <w:t>教会学生在审题过程中圈关键词，提取有效数学信息</w:t>
            </w:r>
          </w:p>
        </w:tc>
        <w:tc>
          <w:tcPr>
            <w:tcW w:w="2516" w:type="dxa"/>
          </w:tcPr>
          <w:p>
            <w:pPr>
              <w:snapToGrid w:val="0"/>
              <w:spacing w:line="312" w:lineRule="auto"/>
              <w:jc w:val="both"/>
            </w:pPr>
            <w:r>
              <w:rPr>
                <w:rFonts w:hint="eastAsia"/>
              </w:rPr>
              <w:t>读题</w:t>
            </w:r>
          </w:p>
          <w:p>
            <w:pPr>
              <w:snapToGrid w:val="0"/>
              <w:spacing w:line="312" w:lineRule="auto"/>
              <w:jc w:val="both"/>
            </w:pPr>
            <w:r>
              <w:rPr>
                <w:rFonts w:hint="eastAsia"/>
              </w:rPr>
              <w:t>圈关键词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snapToGrid w:val="0"/>
              <w:spacing w:line="312" w:lineRule="auto"/>
              <w:jc w:val="both"/>
            </w:pPr>
            <w:r>
              <w:t>培养学生勤于思考、独立思考的习惯</w:t>
            </w:r>
          </w:p>
        </w:tc>
        <w:tc>
          <w:tcPr>
            <w:tcW w:w="5989" w:type="dxa"/>
          </w:tcPr>
          <w:p>
            <w:pPr>
              <w:snapToGrid w:val="0"/>
              <w:spacing w:line="312" w:lineRule="auto"/>
              <w:jc w:val="both"/>
            </w:pPr>
            <w:r>
              <w:rPr>
                <w:rFonts w:hint="eastAsia"/>
              </w:rPr>
              <w:t>多抛出问题让学生思考</w:t>
            </w:r>
          </w:p>
          <w:p>
            <w:pPr>
              <w:snapToGrid w:val="0"/>
              <w:spacing w:line="312" w:lineRule="auto"/>
              <w:jc w:val="both"/>
            </w:pPr>
            <w:r>
              <w:rPr>
                <w:rFonts w:hint="eastAsia"/>
              </w:rPr>
              <w:t>不管学生对错，只要有了想法就要多鼓励</w:t>
            </w:r>
          </w:p>
          <w:p>
            <w:pPr>
              <w:snapToGrid w:val="0"/>
              <w:spacing w:line="312" w:lineRule="auto"/>
              <w:jc w:val="both"/>
            </w:pPr>
            <w:r>
              <w:rPr>
                <w:rFonts w:hint="eastAsia"/>
              </w:rPr>
              <w:t>课堂上多留白，多静下来，给予学生思考的时间和氛围</w:t>
            </w:r>
          </w:p>
          <w:p>
            <w:pPr>
              <w:snapToGrid w:val="0"/>
              <w:spacing w:line="312" w:lineRule="auto"/>
              <w:jc w:val="both"/>
            </w:pPr>
            <w:r>
              <w:rPr>
                <w:rFonts w:hint="eastAsia"/>
              </w:rPr>
              <w:t>自备本利用到位，让学生的思考过程呈现在自备本上</w:t>
            </w:r>
          </w:p>
        </w:tc>
        <w:tc>
          <w:tcPr>
            <w:tcW w:w="2516" w:type="dxa"/>
          </w:tcPr>
          <w:p>
            <w:pPr>
              <w:snapToGrid w:val="0"/>
              <w:spacing w:line="312" w:lineRule="auto"/>
              <w:jc w:val="both"/>
            </w:pPr>
            <w:r>
              <w:rPr>
                <w:rFonts w:hint="eastAsia"/>
              </w:rPr>
              <w:t>对于老师给予的问题多思考</w:t>
            </w:r>
          </w:p>
          <w:p>
            <w:pPr>
              <w:snapToGrid w:val="0"/>
              <w:spacing w:line="312" w:lineRule="auto"/>
              <w:jc w:val="both"/>
            </w:pPr>
            <w:r>
              <w:rPr>
                <w:rFonts w:hint="eastAsia"/>
              </w:rPr>
              <w:t>自备本上留下自己的思考过程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snapToGrid w:val="0"/>
              <w:spacing w:line="312" w:lineRule="auto"/>
              <w:jc w:val="both"/>
            </w:pPr>
            <w:r>
              <w:t>创造好的数学学习环境</w:t>
            </w:r>
          </w:p>
        </w:tc>
        <w:tc>
          <w:tcPr>
            <w:tcW w:w="5989" w:type="dxa"/>
          </w:tcPr>
          <w:p>
            <w:pPr>
              <w:snapToGrid w:val="0"/>
              <w:spacing w:line="312" w:lineRule="auto"/>
              <w:jc w:val="both"/>
            </w:pPr>
            <w:r>
              <w:rPr>
                <w:rFonts w:hint="eastAsia"/>
              </w:rPr>
              <w:t>学校</w:t>
            </w:r>
            <w:r>
              <w:t>建立健全规章制度，形成明确清晰的数学学习目标</w:t>
            </w:r>
          </w:p>
          <w:p>
            <w:pPr>
              <w:snapToGrid w:val="0"/>
              <w:spacing w:line="312" w:lineRule="auto"/>
              <w:jc w:val="both"/>
            </w:pPr>
            <w:r>
              <w:rPr>
                <w:rFonts w:hint="eastAsia"/>
              </w:rPr>
              <w:t>教师</w:t>
            </w:r>
            <w:r>
              <w:t>明晰学生在不同阶段数学学习的任务和重点</w:t>
            </w:r>
          </w:p>
          <w:p>
            <w:pPr>
              <w:snapToGrid w:val="0"/>
              <w:spacing w:line="312" w:lineRule="auto"/>
              <w:jc w:val="both"/>
            </w:pPr>
            <w:r>
              <w:t>教师自身要加强学习，不断提高自身素养，对学生以身作则，达到潜移默化影响</w:t>
            </w:r>
          </w:p>
          <w:p>
            <w:pPr>
              <w:snapToGrid w:val="0"/>
              <w:spacing w:line="312" w:lineRule="auto"/>
              <w:jc w:val="both"/>
            </w:pPr>
            <w:r>
              <w:t>教师要和家长形成密切的配合，让家庭变成另一个适宜于学生数学学习的场所</w:t>
            </w:r>
            <w:r>
              <w:rPr>
                <w:rFonts w:hint="eastAsia"/>
              </w:rPr>
              <w:t>。</w:t>
            </w:r>
          </w:p>
        </w:tc>
        <w:tc>
          <w:tcPr>
            <w:tcW w:w="2516" w:type="dxa"/>
          </w:tcPr>
          <w:p>
            <w:pPr>
              <w:snapToGrid w:val="0"/>
              <w:spacing w:line="312" w:lineRule="auto"/>
              <w:jc w:val="both"/>
            </w:pPr>
            <w:r>
              <w:rPr>
                <w:rFonts w:hint="eastAsia"/>
              </w:rPr>
              <w:t>专心学习、一心一意、</w:t>
            </w:r>
          </w:p>
          <w:p>
            <w:pPr>
              <w:snapToGrid w:val="0"/>
              <w:spacing w:line="312" w:lineRule="auto"/>
              <w:jc w:val="both"/>
            </w:pPr>
            <w:r>
              <w:rPr>
                <w:rFonts w:hint="eastAsia"/>
              </w:rPr>
              <w:t>环境安静、提高效率。</w:t>
            </w:r>
          </w:p>
        </w:tc>
      </w:tr>
    </w:tbl>
    <w:p>
      <w:pPr>
        <w:spacing w:line="312" w:lineRule="auto"/>
        <w:rPr>
          <w:rFonts w:ascii="楷体" w:hAnsi="楷体" w:eastAsia="楷体"/>
          <w:b/>
          <w:bCs/>
          <w:sz w:val="28"/>
          <w:szCs w:val="24"/>
        </w:rPr>
      </w:pPr>
      <w:r>
        <w:rPr>
          <w:rFonts w:hint="eastAsia" w:ascii="楷体" w:hAnsi="楷体" w:eastAsia="楷体"/>
          <w:b/>
          <w:bCs/>
          <w:sz w:val="28"/>
          <w:szCs w:val="24"/>
        </w:rPr>
        <w:t>附录：</w:t>
      </w:r>
    </w:p>
    <w:p>
      <w:pPr>
        <w:spacing w:line="312" w:lineRule="auto"/>
        <w:ind w:firstLine="2160" w:firstLineChars="900"/>
      </w:pPr>
      <w:r>
        <w:rPr>
          <w:rFonts w:hint="eastAsia"/>
        </w:rPr>
        <w:t>2</w:t>
      </w:r>
      <w:r>
        <w:t>0</w:t>
      </w:r>
      <w:r>
        <w:rPr>
          <w:rFonts w:hint="eastAsia"/>
        </w:rPr>
        <w:t>20-</w:t>
      </w:r>
      <w:r>
        <w:t>202</w:t>
      </w:r>
      <w:r>
        <w:rPr>
          <w:rFonts w:hint="eastAsia"/>
        </w:rPr>
        <w:t>1学年度第一学期学科研究日工作安排表</w:t>
      </w:r>
    </w:p>
    <w:tbl>
      <w:tblPr>
        <w:tblStyle w:val="6"/>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821"/>
        <w:gridCol w:w="3398"/>
        <w:gridCol w:w="231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ascii="楷体" w:hAnsi="楷体" w:eastAsia="楷体"/>
                <w:b/>
                <w:bCs/>
              </w:rPr>
            </w:pPr>
            <w:r>
              <w:rPr>
                <w:rFonts w:hint="eastAsia" w:ascii="楷体" w:hAnsi="楷体" w:eastAsia="楷体"/>
                <w:b/>
                <w:bCs/>
              </w:rPr>
              <w:t>周次</w:t>
            </w:r>
          </w:p>
        </w:tc>
        <w:tc>
          <w:tcPr>
            <w:tcW w:w="821" w:type="dxa"/>
            <w:vAlign w:val="center"/>
          </w:tcPr>
          <w:p>
            <w:pPr>
              <w:jc w:val="center"/>
              <w:rPr>
                <w:rFonts w:ascii="楷体" w:hAnsi="楷体" w:eastAsia="楷体"/>
                <w:b/>
                <w:bCs/>
              </w:rPr>
            </w:pPr>
            <w:r>
              <w:rPr>
                <w:rFonts w:hint="eastAsia" w:ascii="楷体" w:hAnsi="楷体" w:eastAsia="楷体"/>
                <w:b/>
                <w:bCs/>
              </w:rPr>
              <w:t>时间</w:t>
            </w:r>
          </w:p>
        </w:tc>
        <w:tc>
          <w:tcPr>
            <w:tcW w:w="3398" w:type="dxa"/>
            <w:vAlign w:val="center"/>
          </w:tcPr>
          <w:p>
            <w:pPr>
              <w:jc w:val="center"/>
              <w:rPr>
                <w:rFonts w:ascii="楷体" w:hAnsi="楷体" w:eastAsia="楷体"/>
                <w:b/>
                <w:bCs/>
              </w:rPr>
            </w:pPr>
            <w:r>
              <w:rPr>
                <w:rFonts w:hint="eastAsia" w:ascii="楷体" w:hAnsi="楷体" w:eastAsia="楷体"/>
                <w:b/>
                <w:bCs/>
              </w:rPr>
              <w:t>内容</w:t>
            </w:r>
          </w:p>
        </w:tc>
        <w:tc>
          <w:tcPr>
            <w:tcW w:w="2319" w:type="dxa"/>
            <w:vAlign w:val="center"/>
          </w:tcPr>
          <w:p>
            <w:pPr>
              <w:jc w:val="center"/>
              <w:rPr>
                <w:rFonts w:ascii="楷体" w:hAnsi="楷体" w:eastAsia="楷体"/>
                <w:b/>
                <w:bCs/>
              </w:rPr>
            </w:pPr>
            <w:r>
              <w:rPr>
                <w:rFonts w:hint="eastAsia" w:ascii="楷体" w:hAnsi="楷体" w:eastAsia="楷体"/>
                <w:b/>
                <w:bCs/>
              </w:rPr>
              <w:t>主题交流或讲座内容</w:t>
            </w:r>
          </w:p>
        </w:tc>
        <w:tc>
          <w:tcPr>
            <w:tcW w:w="2694" w:type="dxa"/>
            <w:vAlign w:val="center"/>
          </w:tcPr>
          <w:p>
            <w:pPr>
              <w:jc w:val="center"/>
              <w:rPr>
                <w:rFonts w:ascii="楷体" w:hAnsi="楷体" w:eastAsia="楷体"/>
                <w:b/>
                <w:bCs/>
              </w:rPr>
            </w:pPr>
            <w:r>
              <w:rPr>
                <w:rFonts w:hint="eastAsia" w:ascii="楷体" w:hAnsi="楷体" w:eastAsia="楷体"/>
                <w:b/>
                <w:bCs/>
              </w:rPr>
              <w:t>跟进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9" w:type="dxa"/>
            <w:vAlign w:val="center"/>
          </w:tcPr>
          <w:p>
            <w:pPr>
              <w:jc w:val="center"/>
              <w:rPr>
                <w:rFonts w:ascii="楷体" w:hAnsi="楷体" w:eastAsia="楷体"/>
                <w:b/>
                <w:bCs/>
              </w:rPr>
            </w:pPr>
            <w:r>
              <w:rPr>
                <w:rFonts w:hint="eastAsia" w:ascii="楷体" w:hAnsi="楷体" w:eastAsia="楷体"/>
                <w:b/>
                <w:bCs/>
              </w:rPr>
              <w:t>1</w:t>
            </w:r>
          </w:p>
        </w:tc>
        <w:tc>
          <w:tcPr>
            <w:tcW w:w="821" w:type="dxa"/>
            <w:vAlign w:val="center"/>
          </w:tcPr>
          <w:p>
            <w:pPr>
              <w:jc w:val="center"/>
              <w:rPr>
                <w:rFonts w:ascii="楷体" w:hAnsi="楷体" w:eastAsia="楷体"/>
                <w:b/>
                <w:bCs/>
              </w:rPr>
            </w:pPr>
            <w:r>
              <w:rPr>
                <w:rFonts w:hint="eastAsia" w:ascii="楷体" w:hAnsi="楷体" w:eastAsia="楷体"/>
                <w:b/>
                <w:bCs/>
              </w:rPr>
              <w:t>9.8</w:t>
            </w:r>
          </w:p>
        </w:tc>
        <w:tc>
          <w:tcPr>
            <w:tcW w:w="3398" w:type="dxa"/>
            <w:vAlign w:val="center"/>
          </w:tcPr>
          <w:p>
            <w:pPr>
              <w:jc w:val="center"/>
              <w:rPr>
                <w:rFonts w:ascii="楷体" w:hAnsi="楷体" w:eastAsia="楷体"/>
                <w:b/>
                <w:bCs/>
              </w:rPr>
            </w:pPr>
            <w:r>
              <w:rPr>
                <w:rFonts w:hint="eastAsia" w:ascii="楷体" w:hAnsi="楷体" w:eastAsia="楷体"/>
                <w:b/>
                <w:bCs/>
                <w:color w:val="4472C4" w:themeColor="accent1"/>
              </w:rPr>
              <w:t>各教研组计划交流</w:t>
            </w:r>
          </w:p>
        </w:tc>
        <w:tc>
          <w:tcPr>
            <w:tcW w:w="2319" w:type="dxa"/>
            <w:vAlign w:val="center"/>
          </w:tcPr>
          <w:p>
            <w:pPr>
              <w:jc w:val="center"/>
              <w:rPr>
                <w:rFonts w:ascii="楷体" w:hAnsi="楷体" w:eastAsia="楷体"/>
                <w:b/>
                <w:bCs/>
              </w:rPr>
            </w:pPr>
          </w:p>
        </w:tc>
        <w:tc>
          <w:tcPr>
            <w:tcW w:w="2694" w:type="dxa"/>
            <w:vAlign w:val="center"/>
          </w:tcPr>
          <w:p>
            <w:pPr>
              <w:jc w:val="center"/>
              <w:rPr>
                <w:rFonts w:ascii="楷体" w:hAnsi="楷体" w:eastAsia="楷体"/>
                <w:b/>
                <w:bCs/>
                <w:color w:val="4472C4" w:themeColor="accent1"/>
              </w:rPr>
            </w:pPr>
            <w:r>
              <w:rPr>
                <w:rFonts w:hint="eastAsia" w:ascii="楷体" w:hAnsi="楷体" w:eastAsia="楷体"/>
                <w:b/>
                <w:bCs/>
                <w:color w:val="4472C4" w:themeColor="accent1"/>
              </w:rPr>
              <w:t>完善教研组计划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ascii="楷体" w:hAnsi="楷体" w:eastAsia="楷体"/>
                <w:b/>
                <w:bCs/>
              </w:rPr>
            </w:pPr>
            <w:r>
              <w:rPr>
                <w:rFonts w:hint="eastAsia" w:ascii="楷体" w:hAnsi="楷体" w:eastAsia="楷体"/>
                <w:b/>
                <w:bCs/>
              </w:rPr>
              <w:t>2</w:t>
            </w:r>
          </w:p>
        </w:tc>
        <w:tc>
          <w:tcPr>
            <w:tcW w:w="821" w:type="dxa"/>
            <w:vAlign w:val="center"/>
          </w:tcPr>
          <w:p>
            <w:pPr>
              <w:jc w:val="center"/>
              <w:rPr>
                <w:rFonts w:ascii="楷体" w:hAnsi="楷体" w:eastAsia="楷体"/>
                <w:b/>
                <w:bCs/>
              </w:rPr>
            </w:pPr>
            <w:r>
              <w:rPr>
                <w:rFonts w:hint="eastAsia" w:ascii="楷体" w:hAnsi="楷体" w:eastAsia="楷体"/>
                <w:b/>
                <w:bCs/>
              </w:rPr>
              <w:t>9.15</w:t>
            </w:r>
          </w:p>
        </w:tc>
        <w:tc>
          <w:tcPr>
            <w:tcW w:w="3398" w:type="dxa"/>
            <w:vAlign w:val="center"/>
          </w:tcPr>
          <w:p>
            <w:pPr>
              <w:jc w:val="center"/>
              <w:rPr>
                <w:rFonts w:ascii="楷体" w:hAnsi="楷体" w:eastAsia="楷体"/>
                <w:b/>
                <w:bCs/>
                <w:color w:val="FF0000"/>
              </w:rPr>
            </w:pPr>
            <w:r>
              <w:rPr>
                <w:rFonts w:hint="eastAsia" w:ascii="楷体" w:hAnsi="楷体" w:eastAsia="楷体"/>
                <w:b/>
                <w:bCs/>
                <w:color w:val="ED7D31" w:themeColor="accent2"/>
              </w:rPr>
              <w:t>专家指导数学练兵课（陈校）</w:t>
            </w:r>
          </w:p>
        </w:tc>
        <w:tc>
          <w:tcPr>
            <w:tcW w:w="2319" w:type="dxa"/>
            <w:vAlign w:val="center"/>
          </w:tcPr>
          <w:p>
            <w:pPr>
              <w:jc w:val="center"/>
              <w:rPr>
                <w:rFonts w:ascii="楷体" w:hAnsi="楷体" w:eastAsia="楷体"/>
                <w:b/>
                <w:bCs/>
                <w:color w:val="FF0000"/>
              </w:rPr>
            </w:pPr>
            <w:r>
              <w:rPr>
                <w:rFonts w:hint="eastAsia" w:ascii="楷体" w:hAnsi="楷体" w:eastAsia="楷体"/>
                <w:b/>
                <w:bCs/>
                <w:color w:val="ED7D31" w:themeColor="accent2"/>
              </w:rPr>
              <w:t>计算类</w:t>
            </w:r>
          </w:p>
        </w:tc>
        <w:tc>
          <w:tcPr>
            <w:tcW w:w="2694" w:type="dxa"/>
            <w:vAlign w:val="center"/>
          </w:tcPr>
          <w:p>
            <w:pPr>
              <w:jc w:val="center"/>
              <w:rPr>
                <w:rFonts w:ascii="楷体" w:hAnsi="楷体" w:eastAsia="楷体"/>
                <w:b/>
                <w:bCs/>
              </w:rPr>
            </w:pPr>
            <w:r>
              <w:rPr>
                <w:rFonts w:hint="eastAsia" w:ascii="楷体" w:hAnsi="楷体" w:eastAsia="楷体"/>
                <w:b/>
                <w:bCs/>
              </w:rPr>
              <w:t>内容（骨干教师展示课）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9" w:type="dxa"/>
            <w:vAlign w:val="center"/>
          </w:tcPr>
          <w:p>
            <w:pPr>
              <w:jc w:val="center"/>
              <w:rPr>
                <w:rFonts w:ascii="楷体" w:hAnsi="楷体" w:eastAsia="楷体"/>
                <w:b/>
                <w:bCs/>
              </w:rPr>
            </w:pPr>
            <w:r>
              <w:rPr>
                <w:rFonts w:hint="eastAsia" w:ascii="楷体" w:hAnsi="楷体" w:eastAsia="楷体"/>
                <w:b/>
                <w:bCs/>
              </w:rPr>
              <w:t>3</w:t>
            </w:r>
          </w:p>
        </w:tc>
        <w:tc>
          <w:tcPr>
            <w:tcW w:w="821" w:type="dxa"/>
            <w:vAlign w:val="center"/>
          </w:tcPr>
          <w:p>
            <w:pPr>
              <w:jc w:val="center"/>
              <w:rPr>
                <w:rFonts w:ascii="楷体" w:hAnsi="楷体" w:eastAsia="楷体"/>
                <w:b/>
                <w:bCs/>
              </w:rPr>
            </w:pPr>
            <w:r>
              <w:rPr>
                <w:rFonts w:hint="eastAsia" w:ascii="楷体" w:hAnsi="楷体" w:eastAsia="楷体"/>
                <w:b/>
                <w:bCs/>
              </w:rPr>
              <w:t>9.22</w:t>
            </w:r>
          </w:p>
        </w:tc>
        <w:tc>
          <w:tcPr>
            <w:tcW w:w="3398" w:type="dxa"/>
            <w:vAlign w:val="center"/>
          </w:tcPr>
          <w:p>
            <w:pPr>
              <w:jc w:val="center"/>
              <w:rPr>
                <w:rFonts w:ascii="楷体" w:hAnsi="楷体" w:eastAsia="楷体"/>
                <w:b/>
                <w:bCs/>
                <w:color w:val="ED7D31" w:themeColor="accent2"/>
              </w:rPr>
            </w:pPr>
            <w:r>
              <w:rPr>
                <w:rFonts w:hint="eastAsia" w:ascii="楷体" w:hAnsi="楷体" w:eastAsia="楷体"/>
                <w:b/>
                <w:bCs/>
              </w:rPr>
              <w:t>教材解读+读书交流</w:t>
            </w:r>
          </w:p>
        </w:tc>
        <w:tc>
          <w:tcPr>
            <w:tcW w:w="2319" w:type="dxa"/>
            <w:vAlign w:val="center"/>
          </w:tcPr>
          <w:p>
            <w:pPr>
              <w:jc w:val="center"/>
              <w:rPr>
                <w:rFonts w:ascii="楷体" w:hAnsi="楷体" w:eastAsia="楷体"/>
                <w:b/>
                <w:bCs/>
              </w:rPr>
            </w:pPr>
            <w:r>
              <w:rPr>
                <w:rFonts w:hint="eastAsia" w:ascii="楷体" w:hAnsi="楷体" w:eastAsia="楷体"/>
                <w:b/>
                <w:bCs/>
              </w:rPr>
              <w:t>计算类</w:t>
            </w:r>
          </w:p>
        </w:tc>
        <w:tc>
          <w:tcPr>
            <w:tcW w:w="2694" w:type="dxa"/>
            <w:vAlign w:val="center"/>
          </w:tcPr>
          <w:p>
            <w:pPr>
              <w:jc w:val="center"/>
              <w:rPr>
                <w:rFonts w:ascii="楷体" w:hAnsi="楷体" w:eastAsia="楷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ascii="楷体" w:hAnsi="楷体" w:eastAsia="楷体"/>
                <w:b/>
                <w:bCs/>
              </w:rPr>
            </w:pPr>
            <w:r>
              <w:rPr>
                <w:rFonts w:hint="eastAsia" w:ascii="楷体" w:hAnsi="楷体" w:eastAsia="楷体"/>
                <w:b/>
                <w:bCs/>
              </w:rPr>
              <w:t>4</w:t>
            </w:r>
          </w:p>
        </w:tc>
        <w:tc>
          <w:tcPr>
            <w:tcW w:w="821" w:type="dxa"/>
            <w:vAlign w:val="center"/>
          </w:tcPr>
          <w:p>
            <w:pPr>
              <w:jc w:val="center"/>
              <w:rPr>
                <w:rFonts w:ascii="楷体" w:hAnsi="楷体" w:eastAsia="楷体"/>
                <w:b/>
                <w:bCs/>
              </w:rPr>
            </w:pPr>
            <w:r>
              <w:rPr>
                <w:rFonts w:hint="eastAsia" w:ascii="楷体" w:hAnsi="楷体" w:eastAsia="楷体"/>
                <w:b/>
                <w:bCs/>
              </w:rPr>
              <w:t>9.29</w:t>
            </w:r>
          </w:p>
        </w:tc>
        <w:tc>
          <w:tcPr>
            <w:tcW w:w="3398" w:type="dxa"/>
            <w:vAlign w:val="center"/>
          </w:tcPr>
          <w:p>
            <w:pPr>
              <w:jc w:val="center"/>
              <w:rPr>
                <w:rFonts w:ascii="楷体" w:hAnsi="楷体" w:eastAsia="楷体"/>
                <w:b/>
                <w:bCs/>
              </w:rPr>
            </w:pPr>
            <w:r>
              <w:rPr>
                <w:rFonts w:hint="eastAsia" w:ascii="楷体" w:hAnsi="楷体" w:eastAsia="楷体"/>
                <w:b/>
                <w:bCs/>
                <w:color w:val="FF33CC"/>
              </w:rPr>
              <w:t>专家指导数学练兵课（专家）</w:t>
            </w:r>
          </w:p>
        </w:tc>
        <w:tc>
          <w:tcPr>
            <w:tcW w:w="2319" w:type="dxa"/>
            <w:vAlign w:val="center"/>
          </w:tcPr>
          <w:p>
            <w:pPr>
              <w:jc w:val="center"/>
              <w:rPr>
                <w:rFonts w:ascii="楷体" w:hAnsi="楷体" w:eastAsia="楷体"/>
                <w:b/>
                <w:bCs/>
              </w:rPr>
            </w:pPr>
            <w:r>
              <w:rPr>
                <w:rFonts w:hint="eastAsia" w:ascii="楷体" w:hAnsi="楷体" w:eastAsia="楷体"/>
                <w:b/>
                <w:bCs/>
                <w:color w:val="FF33CC"/>
              </w:rPr>
              <w:t>计算类</w:t>
            </w:r>
          </w:p>
        </w:tc>
        <w:tc>
          <w:tcPr>
            <w:tcW w:w="2694" w:type="dxa"/>
            <w:vAlign w:val="center"/>
          </w:tcPr>
          <w:p>
            <w:pPr>
              <w:jc w:val="center"/>
              <w:rPr>
                <w:rFonts w:ascii="楷体" w:hAnsi="楷体" w:eastAsia="楷体"/>
                <w:b/>
                <w:bCs/>
              </w:rPr>
            </w:pPr>
            <w:r>
              <w:rPr>
                <w:rFonts w:hint="eastAsia" w:ascii="楷体" w:hAnsi="楷体" w:eastAsia="楷体"/>
                <w:b/>
                <w:bCs/>
              </w:rPr>
              <w:t>方法（成熟教师发展课）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9" w:type="dxa"/>
            <w:vAlign w:val="center"/>
          </w:tcPr>
          <w:p>
            <w:pPr>
              <w:jc w:val="center"/>
              <w:rPr>
                <w:rFonts w:ascii="楷体" w:hAnsi="楷体" w:eastAsia="楷体"/>
                <w:b/>
                <w:bCs/>
              </w:rPr>
            </w:pPr>
            <w:r>
              <w:rPr>
                <w:rFonts w:hint="eastAsia" w:ascii="楷体" w:hAnsi="楷体" w:eastAsia="楷体"/>
                <w:b/>
                <w:bCs/>
              </w:rPr>
              <w:t>5</w:t>
            </w:r>
          </w:p>
        </w:tc>
        <w:tc>
          <w:tcPr>
            <w:tcW w:w="821" w:type="dxa"/>
            <w:vAlign w:val="center"/>
          </w:tcPr>
          <w:p>
            <w:pPr>
              <w:jc w:val="center"/>
              <w:rPr>
                <w:rFonts w:ascii="楷体" w:hAnsi="楷体" w:eastAsia="楷体"/>
                <w:b/>
                <w:bCs/>
              </w:rPr>
            </w:pPr>
            <w:r>
              <w:rPr>
                <w:rFonts w:hint="eastAsia" w:ascii="楷体" w:hAnsi="楷体" w:eastAsia="楷体"/>
                <w:b/>
                <w:bCs/>
              </w:rPr>
              <w:t>10.13</w:t>
            </w:r>
          </w:p>
        </w:tc>
        <w:tc>
          <w:tcPr>
            <w:tcW w:w="3398" w:type="dxa"/>
            <w:vAlign w:val="center"/>
          </w:tcPr>
          <w:p>
            <w:pPr>
              <w:jc w:val="center"/>
              <w:rPr>
                <w:rFonts w:ascii="楷体" w:hAnsi="楷体" w:eastAsia="楷体"/>
                <w:b/>
                <w:bCs/>
                <w:color w:val="FF33CC"/>
              </w:rPr>
            </w:pPr>
            <w:r>
              <w:rPr>
                <w:rFonts w:hint="eastAsia" w:ascii="楷体" w:hAnsi="楷体" w:eastAsia="楷体"/>
                <w:b/>
                <w:bCs/>
                <w:color w:val="00B050"/>
              </w:rPr>
              <w:t>工作室活动</w:t>
            </w:r>
          </w:p>
        </w:tc>
        <w:tc>
          <w:tcPr>
            <w:tcW w:w="2319" w:type="dxa"/>
            <w:vAlign w:val="center"/>
          </w:tcPr>
          <w:p>
            <w:pPr>
              <w:jc w:val="center"/>
              <w:rPr>
                <w:rFonts w:ascii="楷体" w:hAnsi="楷体" w:eastAsia="楷体"/>
                <w:b/>
                <w:bCs/>
              </w:rPr>
            </w:pPr>
            <w:r>
              <w:rPr>
                <w:rFonts w:hint="eastAsia" w:ascii="楷体" w:hAnsi="楷体" w:eastAsia="楷体"/>
                <w:b/>
                <w:bCs/>
                <w:color w:val="00B050"/>
              </w:rPr>
              <w:t>（数字化）</w:t>
            </w:r>
          </w:p>
        </w:tc>
        <w:tc>
          <w:tcPr>
            <w:tcW w:w="2694" w:type="dxa"/>
            <w:vAlign w:val="center"/>
          </w:tcPr>
          <w:p>
            <w:pPr>
              <w:jc w:val="center"/>
              <w:rPr>
                <w:rFonts w:ascii="楷体" w:hAnsi="楷体" w:eastAsia="楷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ascii="楷体" w:hAnsi="楷体" w:eastAsia="楷体"/>
                <w:b/>
                <w:bCs/>
              </w:rPr>
            </w:pPr>
            <w:r>
              <w:rPr>
                <w:rFonts w:hint="eastAsia" w:ascii="楷体" w:hAnsi="楷体" w:eastAsia="楷体"/>
                <w:b/>
                <w:bCs/>
              </w:rPr>
              <w:t>6</w:t>
            </w:r>
          </w:p>
        </w:tc>
        <w:tc>
          <w:tcPr>
            <w:tcW w:w="821" w:type="dxa"/>
            <w:vAlign w:val="center"/>
          </w:tcPr>
          <w:p>
            <w:pPr>
              <w:jc w:val="center"/>
              <w:rPr>
                <w:rFonts w:ascii="楷体" w:hAnsi="楷体" w:eastAsia="楷体"/>
                <w:b/>
                <w:bCs/>
              </w:rPr>
            </w:pPr>
            <w:r>
              <w:rPr>
                <w:rFonts w:hint="eastAsia" w:ascii="楷体" w:hAnsi="楷体" w:eastAsia="楷体"/>
                <w:b/>
                <w:bCs/>
              </w:rPr>
              <w:t>10.20</w:t>
            </w:r>
          </w:p>
        </w:tc>
        <w:tc>
          <w:tcPr>
            <w:tcW w:w="3398" w:type="dxa"/>
            <w:vAlign w:val="center"/>
          </w:tcPr>
          <w:p>
            <w:pPr>
              <w:jc w:val="center"/>
              <w:rPr>
                <w:rFonts w:ascii="楷体" w:hAnsi="楷体" w:eastAsia="楷体"/>
                <w:b/>
                <w:bCs/>
                <w:color w:val="FF0000"/>
              </w:rPr>
            </w:pPr>
            <w:r>
              <w:rPr>
                <w:rFonts w:hint="eastAsia" w:ascii="楷体" w:hAnsi="楷体" w:eastAsia="楷体"/>
                <w:b/>
                <w:bCs/>
                <w:color w:val="ED7D31" w:themeColor="accent2"/>
              </w:rPr>
              <w:t>专家指导数学练兵课（陈校）</w:t>
            </w:r>
          </w:p>
        </w:tc>
        <w:tc>
          <w:tcPr>
            <w:tcW w:w="2319" w:type="dxa"/>
            <w:vAlign w:val="center"/>
          </w:tcPr>
          <w:p>
            <w:pPr>
              <w:jc w:val="center"/>
              <w:rPr>
                <w:rFonts w:ascii="楷体" w:hAnsi="楷体" w:eastAsia="楷体"/>
                <w:b/>
                <w:bCs/>
                <w:color w:val="FF0000"/>
              </w:rPr>
            </w:pPr>
            <w:r>
              <w:rPr>
                <w:rFonts w:hint="eastAsia" w:ascii="楷体" w:hAnsi="楷体" w:eastAsia="楷体"/>
                <w:b/>
                <w:bCs/>
                <w:color w:val="ED7D31" w:themeColor="accent2"/>
              </w:rPr>
              <w:t>概念类</w:t>
            </w:r>
          </w:p>
        </w:tc>
        <w:tc>
          <w:tcPr>
            <w:tcW w:w="2694" w:type="dxa"/>
            <w:vAlign w:val="center"/>
          </w:tcPr>
          <w:p>
            <w:pPr>
              <w:jc w:val="center"/>
              <w:rPr>
                <w:rFonts w:ascii="楷体" w:hAnsi="楷体" w:eastAsia="楷体"/>
                <w:b/>
                <w:bCs/>
              </w:rPr>
            </w:pPr>
            <w:r>
              <w:rPr>
                <w:rFonts w:hint="eastAsia" w:ascii="楷体" w:hAnsi="楷体" w:eastAsia="楷体"/>
                <w:b/>
                <w:bCs/>
              </w:rPr>
              <w:t>内容（青年教师成长课）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699" w:type="dxa"/>
            <w:vAlign w:val="center"/>
          </w:tcPr>
          <w:p>
            <w:pPr>
              <w:jc w:val="center"/>
              <w:rPr>
                <w:rFonts w:ascii="楷体" w:hAnsi="楷体" w:eastAsia="楷体"/>
                <w:b/>
                <w:bCs/>
              </w:rPr>
            </w:pPr>
            <w:r>
              <w:rPr>
                <w:rFonts w:hint="eastAsia" w:ascii="楷体" w:hAnsi="楷体" w:eastAsia="楷体"/>
                <w:b/>
                <w:bCs/>
              </w:rPr>
              <w:t>7</w:t>
            </w:r>
          </w:p>
        </w:tc>
        <w:tc>
          <w:tcPr>
            <w:tcW w:w="821" w:type="dxa"/>
            <w:vAlign w:val="center"/>
          </w:tcPr>
          <w:p>
            <w:pPr>
              <w:jc w:val="center"/>
              <w:rPr>
                <w:rFonts w:ascii="楷体" w:hAnsi="楷体" w:eastAsia="楷体"/>
                <w:b/>
                <w:bCs/>
              </w:rPr>
            </w:pPr>
            <w:r>
              <w:rPr>
                <w:rFonts w:hint="eastAsia" w:ascii="楷体" w:hAnsi="楷体" w:eastAsia="楷体"/>
                <w:b/>
                <w:bCs/>
              </w:rPr>
              <w:t>10.27</w:t>
            </w:r>
          </w:p>
        </w:tc>
        <w:tc>
          <w:tcPr>
            <w:tcW w:w="3398" w:type="dxa"/>
            <w:vAlign w:val="center"/>
          </w:tcPr>
          <w:p>
            <w:pPr>
              <w:jc w:val="center"/>
              <w:rPr>
                <w:rFonts w:ascii="楷体" w:hAnsi="楷体" w:eastAsia="楷体"/>
                <w:b/>
                <w:bCs/>
              </w:rPr>
            </w:pPr>
            <w:r>
              <w:rPr>
                <w:rFonts w:hint="eastAsia" w:ascii="楷体" w:hAnsi="楷体" w:eastAsia="楷体"/>
                <w:b/>
                <w:bCs/>
              </w:rPr>
              <w:t>教材解读+读书交流</w:t>
            </w:r>
          </w:p>
        </w:tc>
        <w:tc>
          <w:tcPr>
            <w:tcW w:w="2319" w:type="dxa"/>
            <w:vAlign w:val="center"/>
          </w:tcPr>
          <w:p>
            <w:pPr>
              <w:jc w:val="center"/>
              <w:rPr>
                <w:rFonts w:ascii="楷体" w:hAnsi="楷体" w:eastAsia="楷体"/>
                <w:b/>
                <w:bCs/>
              </w:rPr>
            </w:pPr>
            <w:r>
              <w:rPr>
                <w:rFonts w:hint="eastAsia" w:ascii="楷体" w:hAnsi="楷体" w:eastAsia="楷体"/>
                <w:b/>
                <w:bCs/>
              </w:rPr>
              <w:t>概念类</w:t>
            </w:r>
          </w:p>
        </w:tc>
        <w:tc>
          <w:tcPr>
            <w:tcW w:w="2694" w:type="dxa"/>
            <w:vAlign w:val="center"/>
          </w:tcPr>
          <w:p>
            <w:pPr>
              <w:jc w:val="center"/>
              <w:rPr>
                <w:rFonts w:ascii="楷体" w:hAnsi="楷体" w:eastAsia="楷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ascii="楷体" w:hAnsi="楷体" w:eastAsia="楷体"/>
                <w:b/>
                <w:bCs/>
              </w:rPr>
            </w:pPr>
            <w:r>
              <w:rPr>
                <w:rFonts w:hint="eastAsia" w:ascii="楷体" w:hAnsi="楷体" w:eastAsia="楷体"/>
                <w:b/>
                <w:bCs/>
              </w:rPr>
              <w:t>8</w:t>
            </w:r>
          </w:p>
        </w:tc>
        <w:tc>
          <w:tcPr>
            <w:tcW w:w="821" w:type="dxa"/>
            <w:vAlign w:val="center"/>
          </w:tcPr>
          <w:p>
            <w:pPr>
              <w:jc w:val="center"/>
              <w:rPr>
                <w:rFonts w:ascii="楷体" w:hAnsi="楷体" w:eastAsia="楷体"/>
                <w:b/>
                <w:bCs/>
              </w:rPr>
            </w:pPr>
            <w:r>
              <w:rPr>
                <w:rFonts w:hint="eastAsia" w:ascii="楷体" w:hAnsi="楷体" w:eastAsia="楷体"/>
                <w:b/>
                <w:bCs/>
              </w:rPr>
              <w:t>11.3</w:t>
            </w:r>
          </w:p>
        </w:tc>
        <w:tc>
          <w:tcPr>
            <w:tcW w:w="3398" w:type="dxa"/>
            <w:vAlign w:val="center"/>
          </w:tcPr>
          <w:p>
            <w:pPr>
              <w:jc w:val="center"/>
              <w:rPr>
                <w:rFonts w:ascii="楷体" w:hAnsi="楷体" w:eastAsia="楷体"/>
                <w:b/>
                <w:bCs/>
              </w:rPr>
            </w:pPr>
            <w:r>
              <w:rPr>
                <w:rFonts w:hint="eastAsia" w:ascii="楷体" w:hAnsi="楷体" w:eastAsia="楷体"/>
                <w:b/>
                <w:bCs/>
                <w:color w:val="FF0000"/>
              </w:rPr>
              <w:t>命题</w:t>
            </w:r>
          </w:p>
        </w:tc>
        <w:tc>
          <w:tcPr>
            <w:tcW w:w="2319" w:type="dxa"/>
            <w:vAlign w:val="center"/>
          </w:tcPr>
          <w:p>
            <w:pPr>
              <w:jc w:val="center"/>
              <w:rPr>
                <w:rFonts w:ascii="楷体" w:hAnsi="楷体" w:eastAsia="楷体"/>
                <w:b/>
                <w:bCs/>
              </w:rPr>
            </w:pPr>
            <w:r>
              <w:rPr>
                <w:rFonts w:hint="eastAsia" w:ascii="楷体" w:hAnsi="楷体" w:eastAsia="楷体"/>
                <w:b/>
                <w:bCs/>
                <w:color w:val="FF0000"/>
              </w:rPr>
              <w:t>为期中试卷准备</w:t>
            </w:r>
          </w:p>
        </w:tc>
        <w:tc>
          <w:tcPr>
            <w:tcW w:w="2694" w:type="dxa"/>
            <w:vAlign w:val="center"/>
          </w:tcPr>
          <w:p>
            <w:pPr>
              <w:jc w:val="center"/>
              <w:rPr>
                <w:rFonts w:ascii="楷体" w:hAnsi="楷体" w:eastAsia="楷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ascii="楷体" w:hAnsi="楷体" w:eastAsia="楷体"/>
                <w:b/>
                <w:bCs/>
              </w:rPr>
            </w:pPr>
            <w:r>
              <w:rPr>
                <w:rFonts w:hint="eastAsia" w:ascii="楷体" w:hAnsi="楷体" w:eastAsia="楷体"/>
                <w:b/>
                <w:bCs/>
              </w:rPr>
              <w:t>9</w:t>
            </w:r>
          </w:p>
        </w:tc>
        <w:tc>
          <w:tcPr>
            <w:tcW w:w="821" w:type="dxa"/>
            <w:vAlign w:val="center"/>
          </w:tcPr>
          <w:p>
            <w:pPr>
              <w:jc w:val="center"/>
              <w:rPr>
                <w:rFonts w:ascii="楷体" w:hAnsi="楷体" w:eastAsia="楷体"/>
                <w:b/>
                <w:bCs/>
              </w:rPr>
            </w:pPr>
            <w:r>
              <w:rPr>
                <w:rFonts w:hint="eastAsia" w:ascii="楷体" w:hAnsi="楷体" w:eastAsia="楷体"/>
                <w:b/>
                <w:bCs/>
              </w:rPr>
              <w:t>11.10</w:t>
            </w:r>
          </w:p>
        </w:tc>
        <w:tc>
          <w:tcPr>
            <w:tcW w:w="3398" w:type="dxa"/>
            <w:vAlign w:val="center"/>
          </w:tcPr>
          <w:p>
            <w:pPr>
              <w:jc w:val="center"/>
              <w:rPr>
                <w:rFonts w:ascii="楷体" w:hAnsi="楷体" w:eastAsia="楷体"/>
                <w:b/>
                <w:bCs/>
              </w:rPr>
            </w:pPr>
            <w:r>
              <w:rPr>
                <w:rFonts w:hint="eastAsia" w:ascii="楷体" w:hAnsi="楷体" w:eastAsia="楷体"/>
                <w:b/>
                <w:bCs/>
                <w:color w:val="ED7D31" w:themeColor="accent2"/>
              </w:rPr>
              <w:t>专家指导数学练兵课（陈校）</w:t>
            </w:r>
          </w:p>
        </w:tc>
        <w:tc>
          <w:tcPr>
            <w:tcW w:w="2319" w:type="dxa"/>
            <w:vAlign w:val="center"/>
          </w:tcPr>
          <w:p>
            <w:pPr>
              <w:jc w:val="center"/>
              <w:rPr>
                <w:rFonts w:ascii="楷体" w:hAnsi="楷体" w:eastAsia="楷体"/>
                <w:b/>
                <w:bCs/>
                <w:color w:val="ED7D31" w:themeColor="accent2"/>
              </w:rPr>
            </w:pPr>
            <w:r>
              <w:rPr>
                <w:rFonts w:hint="eastAsia" w:ascii="楷体" w:hAnsi="楷体" w:eastAsia="楷体"/>
                <w:b/>
                <w:bCs/>
                <w:color w:val="ED7D31" w:themeColor="accent2"/>
              </w:rPr>
              <w:t>概念类</w:t>
            </w:r>
          </w:p>
        </w:tc>
        <w:tc>
          <w:tcPr>
            <w:tcW w:w="2694" w:type="dxa"/>
            <w:vAlign w:val="center"/>
          </w:tcPr>
          <w:p>
            <w:pPr>
              <w:jc w:val="center"/>
              <w:rPr>
                <w:rFonts w:ascii="楷体" w:hAnsi="楷体" w:eastAsia="楷体"/>
                <w:b/>
                <w:bCs/>
              </w:rPr>
            </w:pPr>
            <w:r>
              <w:rPr>
                <w:rFonts w:hint="eastAsia" w:ascii="楷体" w:hAnsi="楷体" w:eastAsia="楷体"/>
                <w:b/>
                <w:bCs/>
              </w:rPr>
              <w:t>方法（成熟教师发展课）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ascii="楷体" w:hAnsi="楷体" w:eastAsia="楷体"/>
                <w:b/>
                <w:bCs/>
              </w:rPr>
            </w:pPr>
            <w:r>
              <w:rPr>
                <w:rFonts w:hint="eastAsia" w:ascii="楷体" w:hAnsi="楷体" w:eastAsia="楷体"/>
                <w:b/>
                <w:bCs/>
              </w:rPr>
              <w:t>1</w:t>
            </w:r>
            <w:r>
              <w:rPr>
                <w:rFonts w:ascii="楷体" w:hAnsi="楷体" w:eastAsia="楷体"/>
                <w:b/>
                <w:bCs/>
              </w:rPr>
              <w:t>0</w:t>
            </w:r>
          </w:p>
        </w:tc>
        <w:tc>
          <w:tcPr>
            <w:tcW w:w="821" w:type="dxa"/>
            <w:vAlign w:val="center"/>
          </w:tcPr>
          <w:p>
            <w:pPr>
              <w:jc w:val="center"/>
              <w:rPr>
                <w:rFonts w:ascii="楷体" w:hAnsi="楷体" w:eastAsia="楷体"/>
                <w:b/>
                <w:bCs/>
              </w:rPr>
            </w:pPr>
            <w:r>
              <w:rPr>
                <w:rFonts w:hint="eastAsia" w:ascii="楷体" w:hAnsi="楷体" w:eastAsia="楷体"/>
                <w:b/>
                <w:bCs/>
              </w:rPr>
              <w:t>11.17</w:t>
            </w:r>
          </w:p>
        </w:tc>
        <w:tc>
          <w:tcPr>
            <w:tcW w:w="3398" w:type="dxa"/>
            <w:vAlign w:val="center"/>
          </w:tcPr>
          <w:p>
            <w:pPr>
              <w:jc w:val="center"/>
              <w:rPr>
                <w:rFonts w:ascii="楷体" w:hAnsi="楷体" w:eastAsia="楷体"/>
                <w:b/>
                <w:bCs/>
              </w:rPr>
            </w:pPr>
            <w:r>
              <w:rPr>
                <w:rFonts w:hint="eastAsia" w:ascii="楷体" w:hAnsi="楷体" w:eastAsia="楷体"/>
                <w:b/>
                <w:bCs/>
                <w:color w:val="00B050"/>
              </w:rPr>
              <w:t>工作室活动</w:t>
            </w:r>
          </w:p>
        </w:tc>
        <w:tc>
          <w:tcPr>
            <w:tcW w:w="2319" w:type="dxa"/>
            <w:vAlign w:val="center"/>
          </w:tcPr>
          <w:p>
            <w:pPr>
              <w:jc w:val="center"/>
              <w:rPr>
                <w:rFonts w:ascii="楷体" w:hAnsi="楷体" w:eastAsia="楷体"/>
                <w:b/>
                <w:bCs/>
              </w:rPr>
            </w:pPr>
            <w:r>
              <w:rPr>
                <w:rFonts w:hint="eastAsia" w:ascii="楷体" w:hAnsi="楷体" w:eastAsia="楷体"/>
                <w:b/>
                <w:bCs/>
                <w:color w:val="00B050"/>
              </w:rPr>
              <w:t>（教材解读）</w:t>
            </w:r>
          </w:p>
        </w:tc>
        <w:tc>
          <w:tcPr>
            <w:tcW w:w="2694" w:type="dxa"/>
            <w:vAlign w:val="center"/>
          </w:tcPr>
          <w:p>
            <w:pPr>
              <w:jc w:val="center"/>
              <w:rPr>
                <w:rFonts w:ascii="楷体" w:hAnsi="楷体" w:eastAsia="楷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ascii="楷体" w:hAnsi="楷体" w:eastAsia="楷体"/>
                <w:b/>
                <w:bCs/>
              </w:rPr>
            </w:pPr>
            <w:r>
              <w:rPr>
                <w:rFonts w:hint="eastAsia" w:ascii="楷体" w:hAnsi="楷体" w:eastAsia="楷体"/>
                <w:b/>
                <w:bCs/>
              </w:rPr>
              <w:t>1</w:t>
            </w:r>
            <w:r>
              <w:rPr>
                <w:rFonts w:ascii="楷体" w:hAnsi="楷体" w:eastAsia="楷体"/>
                <w:b/>
                <w:bCs/>
              </w:rPr>
              <w:t>1</w:t>
            </w:r>
          </w:p>
        </w:tc>
        <w:tc>
          <w:tcPr>
            <w:tcW w:w="821" w:type="dxa"/>
            <w:vAlign w:val="center"/>
          </w:tcPr>
          <w:p>
            <w:pPr>
              <w:jc w:val="center"/>
              <w:rPr>
                <w:rFonts w:ascii="楷体" w:hAnsi="楷体" w:eastAsia="楷体"/>
                <w:b/>
                <w:bCs/>
              </w:rPr>
            </w:pPr>
            <w:r>
              <w:rPr>
                <w:rFonts w:hint="eastAsia" w:ascii="楷体" w:hAnsi="楷体" w:eastAsia="楷体"/>
                <w:b/>
                <w:bCs/>
              </w:rPr>
              <w:t>11.24</w:t>
            </w:r>
          </w:p>
        </w:tc>
        <w:tc>
          <w:tcPr>
            <w:tcW w:w="3398" w:type="dxa"/>
            <w:vAlign w:val="center"/>
          </w:tcPr>
          <w:p>
            <w:pPr>
              <w:jc w:val="center"/>
              <w:rPr>
                <w:rFonts w:ascii="楷体" w:hAnsi="楷体" w:eastAsia="楷体"/>
                <w:b/>
                <w:bCs/>
              </w:rPr>
            </w:pPr>
            <w:r>
              <w:rPr>
                <w:rFonts w:hint="eastAsia" w:ascii="楷体" w:hAnsi="楷体" w:eastAsia="楷体"/>
                <w:b/>
                <w:bCs/>
              </w:rPr>
              <w:t>试卷分析</w:t>
            </w:r>
          </w:p>
        </w:tc>
        <w:tc>
          <w:tcPr>
            <w:tcW w:w="2319" w:type="dxa"/>
            <w:vAlign w:val="center"/>
          </w:tcPr>
          <w:p>
            <w:pPr>
              <w:jc w:val="center"/>
              <w:rPr>
                <w:rFonts w:ascii="楷体" w:hAnsi="楷体" w:eastAsia="楷体"/>
                <w:b/>
                <w:bCs/>
              </w:rPr>
            </w:pPr>
            <w:r>
              <w:rPr>
                <w:rFonts w:hint="eastAsia" w:ascii="楷体" w:hAnsi="楷体" w:eastAsia="楷体"/>
                <w:b/>
                <w:bCs/>
              </w:rPr>
              <w:t>期中试卷</w:t>
            </w:r>
          </w:p>
        </w:tc>
        <w:tc>
          <w:tcPr>
            <w:tcW w:w="2694" w:type="dxa"/>
            <w:vAlign w:val="center"/>
          </w:tcPr>
          <w:p>
            <w:pPr>
              <w:jc w:val="center"/>
              <w:rPr>
                <w:rFonts w:ascii="楷体" w:hAnsi="楷体" w:eastAsia="楷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ascii="楷体" w:hAnsi="楷体" w:eastAsia="楷体"/>
                <w:b/>
                <w:bCs/>
              </w:rPr>
            </w:pPr>
            <w:r>
              <w:rPr>
                <w:rFonts w:hint="eastAsia" w:ascii="楷体" w:hAnsi="楷体" w:eastAsia="楷体"/>
                <w:b/>
                <w:bCs/>
              </w:rPr>
              <w:t>1</w:t>
            </w:r>
            <w:r>
              <w:rPr>
                <w:rFonts w:ascii="楷体" w:hAnsi="楷体" w:eastAsia="楷体"/>
                <w:b/>
                <w:bCs/>
              </w:rPr>
              <w:t>2</w:t>
            </w:r>
          </w:p>
        </w:tc>
        <w:tc>
          <w:tcPr>
            <w:tcW w:w="821" w:type="dxa"/>
            <w:vAlign w:val="center"/>
          </w:tcPr>
          <w:p>
            <w:pPr>
              <w:jc w:val="center"/>
              <w:rPr>
                <w:rFonts w:ascii="楷体" w:hAnsi="楷体" w:eastAsia="楷体"/>
                <w:b/>
                <w:bCs/>
              </w:rPr>
            </w:pPr>
            <w:r>
              <w:rPr>
                <w:rFonts w:hint="eastAsia" w:ascii="楷体" w:hAnsi="楷体" w:eastAsia="楷体"/>
                <w:b/>
                <w:bCs/>
              </w:rPr>
              <w:t>12.1</w:t>
            </w:r>
          </w:p>
        </w:tc>
        <w:tc>
          <w:tcPr>
            <w:tcW w:w="3398" w:type="dxa"/>
            <w:vAlign w:val="center"/>
          </w:tcPr>
          <w:p>
            <w:pPr>
              <w:jc w:val="center"/>
              <w:rPr>
                <w:rFonts w:ascii="楷体" w:hAnsi="楷体" w:eastAsia="楷体"/>
                <w:b/>
                <w:bCs/>
                <w:color w:val="ED7D31" w:themeColor="accent2"/>
              </w:rPr>
            </w:pPr>
            <w:r>
              <w:rPr>
                <w:rFonts w:hint="eastAsia" w:ascii="楷体" w:hAnsi="楷体" w:eastAsia="楷体"/>
                <w:b/>
                <w:bCs/>
                <w:color w:val="ED7D31" w:themeColor="accent2"/>
              </w:rPr>
              <w:t>专家指导数学练兵课（陈校）</w:t>
            </w:r>
          </w:p>
        </w:tc>
        <w:tc>
          <w:tcPr>
            <w:tcW w:w="2319" w:type="dxa"/>
            <w:vAlign w:val="center"/>
          </w:tcPr>
          <w:p>
            <w:pPr>
              <w:jc w:val="center"/>
              <w:rPr>
                <w:rFonts w:ascii="楷体" w:hAnsi="楷体" w:eastAsia="楷体"/>
                <w:b/>
                <w:bCs/>
              </w:rPr>
            </w:pPr>
            <w:r>
              <w:rPr>
                <w:rFonts w:hint="eastAsia" w:ascii="楷体" w:hAnsi="楷体" w:eastAsia="楷体"/>
                <w:b/>
                <w:bCs/>
                <w:color w:val="ED7D31" w:themeColor="accent2"/>
              </w:rPr>
              <w:t>图形类</w:t>
            </w:r>
          </w:p>
        </w:tc>
        <w:tc>
          <w:tcPr>
            <w:tcW w:w="2694" w:type="dxa"/>
            <w:vAlign w:val="center"/>
          </w:tcPr>
          <w:p>
            <w:pPr>
              <w:jc w:val="center"/>
              <w:rPr>
                <w:rFonts w:ascii="楷体" w:hAnsi="楷体" w:eastAsia="楷体"/>
                <w:b/>
                <w:bCs/>
              </w:rPr>
            </w:pPr>
            <w:r>
              <w:rPr>
                <w:rFonts w:hint="eastAsia" w:ascii="楷体" w:hAnsi="楷体" w:eastAsia="楷体"/>
                <w:b/>
                <w:bCs/>
              </w:rPr>
              <w:t>内容（青年教师成长课）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ascii="楷体" w:hAnsi="楷体" w:eastAsia="楷体"/>
                <w:b/>
                <w:bCs/>
              </w:rPr>
            </w:pPr>
            <w:r>
              <w:rPr>
                <w:rFonts w:hint="eastAsia" w:ascii="楷体" w:hAnsi="楷体" w:eastAsia="楷体"/>
                <w:b/>
                <w:bCs/>
              </w:rPr>
              <w:t>1</w:t>
            </w:r>
            <w:r>
              <w:rPr>
                <w:rFonts w:ascii="楷体" w:hAnsi="楷体" w:eastAsia="楷体"/>
                <w:b/>
                <w:bCs/>
              </w:rPr>
              <w:t>3</w:t>
            </w:r>
          </w:p>
        </w:tc>
        <w:tc>
          <w:tcPr>
            <w:tcW w:w="821" w:type="dxa"/>
            <w:vAlign w:val="center"/>
          </w:tcPr>
          <w:p>
            <w:pPr>
              <w:jc w:val="center"/>
              <w:rPr>
                <w:rFonts w:ascii="楷体" w:hAnsi="楷体" w:eastAsia="楷体"/>
                <w:b/>
                <w:bCs/>
              </w:rPr>
            </w:pPr>
            <w:r>
              <w:rPr>
                <w:rFonts w:hint="eastAsia" w:ascii="楷体" w:hAnsi="楷体" w:eastAsia="楷体"/>
                <w:b/>
                <w:bCs/>
              </w:rPr>
              <w:t>12.8</w:t>
            </w:r>
          </w:p>
        </w:tc>
        <w:tc>
          <w:tcPr>
            <w:tcW w:w="3398" w:type="dxa"/>
            <w:vAlign w:val="center"/>
          </w:tcPr>
          <w:p>
            <w:pPr>
              <w:jc w:val="center"/>
              <w:rPr>
                <w:rFonts w:ascii="楷体" w:hAnsi="楷体" w:eastAsia="楷体"/>
                <w:b/>
                <w:bCs/>
              </w:rPr>
            </w:pPr>
            <w:r>
              <w:rPr>
                <w:rFonts w:hint="eastAsia" w:ascii="楷体" w:hAnsi="楷体" w:eastAsia="楷体"/>
                <w:b/>
                <w:bCs/>
              </w:rPr>
              <w:t>限时备课</w:t>
            </w:r>
          </w:p>
        </w:tc>
        <w:tc>
          <w:tcPr>
            <w:tcW w:w="2319" w:type="dxa"/>
            <w:vAlign w:val="center"/>
          </w:tcPr>
          <w:p>
            <w:pPr>
              <w:jc w:val="center"/>
              <w:rPr>
                <w:rFonts w:ascii="楷体" w:hAnsi="楷体" w:eastAsia="楷体"/>
                <w:b/>
                <w:bCs/>
              </w:rPr>
            </w:pPr>
            <w:r>
              <w:rPr>
                <w:rFonts w:hint="eastAsia" w:ascii="楷体" w:hAnsi="楷体" w:eastAsia="楷体"/>
                <w:b/>
                <w:bCs/>
              </w:rPr>
              <w:t>比赛</w:t>
            </w:r>
          </w:p>
        </w:tc>
        <w:tc>
          <w:tcPr>
            <w:tcW w:w="2694" w:type="dxa"/>
            <w:vAlign w:val="center"/>
          </w:tcPr>
          <w:p>
            <w:pPr>
              <w:jc w:val="center"/>
              <w:rPr>
                <w:rFonts w:ascii="楷体" w:hAnsi="楷体" w:eastAsia="楷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ascii="楷体" w:hAnsi="楷体" w:eastAsia="楷体"/>
                <w:b/>
                <w:bCs/>
              </w:rPr>
            </w:pPr>
            <w:r>
              <w:rPr>
                <w:rFonts w:hint="eastAsia" w:ascii="楷体" w:hAnsi="楷体" w:eastAsia="楷体"/>
                <w:b/>
                <w:bCs/>
              </w:rPr>
              <w:t>1</w:t>
            </w:r>
            <w:r>
              <w:rPr>
                <w:rFonts w:ascii="楷体" w:hAnsi="楷体" w:eastAsia="楷体"/>
                <w:b/>
                <w:bCs/>
              </w:rPr>
              <w:t>4</w:t>
            </w:r>
          </w:p>
        </w:tc>
        <w:tc>
          <w:tcPr>
            <w:tcW w:w="821" w:type="dxa"/>
            <w:vAlign w:val="center"/>
          </w:tcPr>
          <w:p>
            <w:pPr>
              <w:jc w:val="center"/>
              <w:rPr>
                <w:rFonts w:ascii="楷体" w:hAnsi="楷体" w:eastAsia="楷体"/>
                <w:b/>
                <w:bCs/>
              </w:rPr>
            </w:pPr>
            <w:r>
              <w:rPr>
                <w:rFonts w:hint="eastAsia" w:ascii="楷体" w:hAnsi="楷体" w:eastAsia="楷体"/>
                <w:b/>
                <w:bCs/>
              </w:rPr>
              <w:t>12.15</w:t>
            </w:r>
          </w:p>
        </w:tc>
        <w:tc>
          <w:tcPr>
            <w:tcW w:w="3398" w:type="dxa"/>
            <w:vAlign w:val="center"/>
          </w:tcPr>
          <w:p>
            <w:pPr>
              <w:jc w:val="center"/>
              <w:rPr>
                <w:rFonts w:ascii="楷体" w:hAnsi="楷体" w:eastAsia="楷体"/>
                <w:b/>
                <w:bCs/>
              </w:rPr>
            </w:pPr>
            <w:r>
              <w:rPr>
                <w:rFonts w:hint="eastAsia" w:ascii="楷体" w:hAnsi="楷体" w:eastAsia="楷体"/>
                <w:b/>
                <w:bCs/>
                <w:color w:val="FF33CC"/>
              </w:rPr>
              <w:t>专家指导数学练兵课（专家）</w:t>
            </w:r>
          </w:p>
        </w:tc>
        <w:tc>
          <w:tcPr>
            <w:tcW w:w="2319" w:type="dxa"/>
            <w:vAlign w:val="center"/>
          </w:tcPr>
          <w:p>
            <w:pPr>
              <w:jc w:val="center"/>
              <w:rPr>
                <w:rFonts w:ascii="楷体" w:hAnsi="楷体" w:eastAsia="楷体"/>
                <w:b/>
                <w:bCs/>
              </w:rPr>
            </w:pPr>
            <w:r>
              <w:rPr>
                <w:rFonts w:hint="eastAsia" w:ascii="楷体" w:hAnsi="楷体" w:eastAsia="楷体"/>
                <w:b/>
                <w:bCs/>
                <w:color w:val="FF33CC"/>
              </w:rPr>
              <w:t>图形类</w:t>
            </w:r>
          </w:p>
        </w:tc>
        <w:tc>
          <w:tcPr>
            <w:tcW w:w="2694" w:type="dxa"/>
            <w:vAlign w:val="center"/>
          </w:tcPr>
          <w:p>
            <w:pPr>
              <w:jc w:val="center"/>
              <w:rPr>
                <w:rFonts w:ascii="楷体" w:hAnsi="楷体" w:eastAsia="楷体"/>
                <w:b/>
                <w:bCs/>
              </w:rPr>
            </w:pPr>
            <w:r>
              <w:rPr>
                <w:rFonts w:hint="eastAsia" w:ascii="楷体" w:hAnsi="楷体" w:eastAsia="楷体"/>
                <w:b/>
                <w:bCs/>
              </w:rPr>
              <w:t>方法（成熟教师发展课）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ascii="楷体" w:hAnsi="楷体" w:eastAsia="楷体"/>
                <w:b/>
                <w:bCs/>
              </w:rPr>
            </w:pPr>
            <w:r>
              <w:rPr>
                <w:rFonts w:hint="eastAsia" w:ascii="楷体" w:hAnsi="楷体" w:eastAsia="楷体"/>
                <w:b/>
                <w:bCs/>
              </w:rPr>
              <w:t>1</w:t>
            </w:r>
            <w:r>
              <w:rPr>
                <w:rFonts w:ascii="楷体" w:hAnsi="楷体" w:eastAsia="楷体"/>
                <w:b/>
                <w:bCs/>
              </w:rPr>
              <w:t>5</w:t>
            </w:r>
          </w:p>
        </w:tc>
        <w:tc>
          <w:tcPr>
            <w:tcW w:w="821" w:type="dxa"/>
            <w:vAlign w:val="center"/>
          </w:tcPr>
          <w:p>
            <w:pPr>
              <w:jc w:val="center"/>
              <w:rPr>
                <w:rFonts w:ascii="楷体" w:hAnsi="楷体" w:eastAsia="楷体"/>
                <w:b/>
                <w:bCs/>
              </w:rPr>
            </w:pPr>
            <w:r>
              <w:rPr>
                <w:rFonts w:hint="eastAsia" w:ascii="楷体" w:hAnsi="楷体" w:eastAsia="楷体"/>
                <w:b/>
                <w:bCs/>
              </w:rPr>
              <w:t>12.22</w:t>
            </w:r>
          </w:p>
        </w:tc>
        <w:tc>
          <w:tcPr>
            <w:tcW w:w="3398" w:type="dxa"/>
            <w:vAlign w:val="center"/>
          </w:tcPr>
          <w:p>
            <w:pPr>
              <w:jc w:val="center"/>
              <w:rPr>
                <w:rFonts w:ascii="楷体" w:hAnsi="楷体" w:eastAsia="楷体"/>
                <w:b/>
                <w:bCs/>
              </w:rPr>
            </w:pPr>
            <w:r>
              <w:rPr>
                <w:rFonts w:hint="eastAsia" w:ascii="楷体" w:hAnsi="楷体" w:eastAsia="楷体"/>
                <w:b/>
                <w:bCs/>
                <w:color w:val="ED7D31" w:themeColor="accent2"/>
              </w:rPr>
              <w:t>专家指导数学练兵课（陈校）</w:t>
            </w:r>
          </w:p>
        </w:tc>
        <w:tc>
          <w:tcPr>
            <w:tcW w:w="2319" w:type="dxa"/>
            <w:vAlign w:val="center"/>
          </w:tcPr>
          <w:p>
            <w:pPr>
              <w:jc w:val="center"/>
              <w:rPr>
                <w:rFonts w:ascii="楷体" w:hAnsi="楷体" w:eastAsia="楷体"/>
                <w:b/>
                <w:bCs/>
              </w:rPr>
            </w:pPr>
            <w:r>
              <w:rPr>
                <w:rFonts w:hint="eastAsia" w:ascii="楷体" w:hAnsi="楷体" w:eastAsia="楷体"/>
                <w:b/>
                <w:bCs/>
                <w:color w:val="ED7D31" w:themeColor="accent2"/>
              </w:rPr>
              <w:t>解决问题策略类</w:t>
            </w:r>
          </w:p>
        </w:tc>
        <w:tc>
          <w:tcPr>
            <w:tcW w:w="2694" w:type="dxa"/>
            <w:vAlign w:val="center"/>
          </w:tcPr>
          <w:p>
            <w:pPr>
              <w:jc w:val="center"/>
              <w:rPr>
                <w:rFonts w:ascii="楷体" w:hAnsi="楷体" w:eastAsia="楷体"/>
                <w:b/>
                <w:bCs/>
              </w:rPr>
            </w:pPr>
            <w:r>
              <w:rPr>
                <w:rFonts w:hint="eastAsia" w:ascii="楷体" w:hAnsi="楷体" w:eastAsia="楷体"/>
                <w:b/>
                <w:bCs/>
              </w:rPr>
              <w:t>内容（青年教师成长课）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ascii="楷体" w:hAnsi="楷体" w:eastAsia="楷体"/>
                <w:b/>
                <w:bCs/>
              </w:rPr>
            </w:pPr>
            <w:r>
              <w:rPr>
                <w:rFonts w:hint="eastAsia" w:ascii="楷体" w:hAnsi="楷体" w:eastAsia="楷体"/>
                <w:b/>
                <w:bCs/>
              </w:rPr>
              <w:t>1</w:t>
            </w:r>
            <w:r>
              <w:rPr>
                <w:rFonts w:ascii="楷体" w:hAnsi="楷体" w:eastAsia="楷体"/>
                <w:b/>
                <w:bCs/>
              </w:rPr>
              <w:t>6</w:t>
            </w:r>
          </w:p>
        </w:tc>
        <w:tc>
          <w:tcPr>
            <w:tcW w:w="821" w:type="dxa"/>
            <w:vAlign w:val="center"/>
          </w:tcPr>
          <w:p>
            <w:pPr>
              <w:jc w:val="center"/>
              <w:rPr>
                <w:rFonts w:ascii="楷体" w:hAnsi="楷体" w:eastAsia="楷体"/>
                <w:b/>
                <w:bCs/>
              </w:rPr>
            </w:pPr>
            <w:r>
              <w:rPr>
                <w:rFonts w:hint="eastAsia" w:ascii="楷体" w:hAnsi="楷体" w:eastAsia="楷体"/>
                <w:b/>
                <w:bCs/>
              </w:rPr>
              <w:t>12.29</w:t>
            </w:r>
          </w:p>
        </w:tc>
        <w:tc>
          <w:tcPr>
            <w:tcW w:w="3398" w:type="dxa"/>
            <w:vAlign w:val="center"/>
          </w:tcPr>
          <w:p>
            <w:pPr>
              <w:jc w:val="center"/>
              <w:rPr>
                <w:rFonts w:ascii="楷体" w:hAnsi="楷体" w:eastAsia="楷体"/>
                <w:b/>
                <w:bCs/>
              </w:rPr>
            </w:pPr>
            <w:r>
              <w:rPr>
                <w:rFonts w:hint="eastAsia" w:ascii="楷体" w:hAnsi="楷体" w:eastAsia="楷体"/>
                <w:b/>
                <w:bCs/>
              </w:rPr>
              <w:t>教材解读+读书交流</w:t>
            </w:r>
          </w:p>
        </w:tc>
        <w:tc>
          <w:tcPr>
            <w:tcW w:w="2319" w:type="dxa"/>
            <w:vAlign w:val="center"/>
          </w:tcPr>
          <w:p>
            <w:pPr>
              <w:jc w:val="center"/>
              <w:rPr>
                <w:rFonts w:ascii="楷体" w:hAnsi="楷体" w:eastAsia="楷体"/>
                <w:b/>
                <w:bCs/>
              </w:rPr>
            </w:pPr>
            <w:r>
              <w:rPr>
                <w:rFonts w:hint="eastAsia" w:ascii="楷体" w:hAnsi="楷体" w:eastAsia="楷体"/>
                <w:b/>
                <w:bCs/>
              </w:rPr>
              <w:t>解决问题的策略</w:t>
            </w:r>
          </w:p>
        </w:tc>
        <w:tc>
          <w:tcPr>
            <w:tcW w:w="2694" w:type="dxa"/>
            <w:vAlign w:val="center"/>
          </w:tcPr>
          <w:p>
            <w:pPr>
              <w:jc w:val="center"/>
              <w:rPr>
                <w:rFonts w:ascii="楷体" w:hAnsi="楷体" w:eastAsia="楷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ascii="楷体" w:hAnsi="楷体" w:eastAsia="楷体"/>
                <w:b/>
                <w:bCs/>
              </w:rPr>
            </w:pPr>
            <w:r>
              <w:rPr>
                <w:rFonts w:hint="eastAsia" w:ascii="楷体" w:hAnsi="楷体" w:eastAsia="楷体"/>
                <w:b/>
                <w:bCs/>
              </w:rPr>
              <w:t>1</w:t>
            </w:r>
            <w:r>
              <w:rPr>
                <w:rFonts w:ascii="楷体" w:hAnsi="楷体" w:eastAsia="楷体"/>
                <w:b/>
                <w:bCs/>
              </w:rPr>
              <w:t>7</w:t>
            </w:r>
          </w:p>
        </w:tc>
        <w:tc>
          <w:tcPr>
            <w:tcW w:w="821" w:type="dxa"/>
            <w:vAlign w:val="center"/>
          </w:tcPr>
          <w:p>
            <w:pPr>
              <w:jc w:val="center"/>
              <w:rPr>
                <w:rFonts w:ascii="楷体" w:hAnsi="楷体" w:eastAsia="楷体"/>
                <w:b/>
                <w:bCs/>
              </w:rPr>
            </w:pPr>
            <w:r>
              <w:rPr>
                <w:rFonts w:hint="eastAsia" w:ascii="楷体" w:hAnsi="楷体" w:eastAsia="楷体"/>
                <w:b/>
                <w:bCs/>
              </w:rPr>
              <w:t>1.5</w:t>
            </w:r>
          </w:p>
        </w:tc>
        <w:tc>
          <w:tcPr>
            <w:tcW w:w="3398" w:type="dxa"/>
            <w:vAlign w:val="center"/>
          </w:tcPr>
          <w:p>
            <w:pPr>
              <w:jc w:val="center"/>
              <w:rPr>
                <w:rFonts w:ascii="楷体" w:hAnsi="楷体" w:eastAsia="楷体"/>
                <w:b/>
                <w:bCs/>
                <w:color w:val="FF33CC"/>
              </w:rPr>
            </w:pPr>
            <w:r>
              <w:rPr>
                <w:rFonts w:hint="eastAsia" w:ascii="楷体" w:hAnsi="楷体" w:eastAsia="楷体"/>
                <w:b/>
                <w:bCs/>
                <w:color w:val="FF33CC"/>
              </w:rPr>
              <w:t>专家指导数学练兵课（专家）</w:t>
            </w:r>
          </w:p>
        </w:tc>
        <w:tc>
          <w:tcPr>
            <w:tcW w:w="2319" w:type="dxa"/>
            <w:vAlign w:val="center"/>
          </w:tcPr>
          <w:p>
            <w:pPr>
              <w:jc w:val="center"/>
              <w:rPr>
                <w:rFonts w:ascii="楷体" w:hAnsi="楷体" w:eastAsia="楷体"/>
                <w:b/>
                <w:bCs/>
                <w:color w:val="FF33CC"/>
              </w:rPr>
            </w:pPr>
            <w:r>
              <w:rPr>
                <w:rFonts w:hint="eastAsia" w:ascii="楷体" w:hAnsi="楷体" w:eastAsia="楷体"/>
                <w:b/>
                <w:bCs/>
                <w:color w:val="FF33CC"/>
              </w:rPr>
              <w:t>解决问题策略类</w:t>
            </w:r>
          </w:p>
        </w:tc>
        <w:tc>
          <w:tcPr>
            <w:tcW w:w="2694" w:type="dxa"/>
            <w:vAlign w:val="center"/>
          </w:tcPr>
          <w:p>
            <w:pPr>
              <w:jc w:val="center"/>
              <w:rPr>
                <w:rFonts w:ascii="楷体" w:hAnsi="楷体" w:eastAsia="楷体"/>
                <w:b/>
                <w:bCs/>
              </w:rPr>
            </w:pPr>
            <w:r>
              <w:rPr>
                <w:rFonts w:hint="eastAsia" w:ascii="楷体" w:hAnsi="楷体" w:eastAsia="楷体"/>
                <w:b/>
                <w:bCs/>
              </w:rPr>
              <w:t>方法（成熟教师发展课）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ascii="楷体" w:hAnsi="楷体" w:eastAsia="楷体"/>
                <w:b/>
                <w:bCs/>
              </w:rPr>
            </w:pPr>
            <w:r>
              <w:rPr>
                <w:rFonts w:hint="eastAsia" w:ascii="楷体" w:hAnsi="楷体" w:eastAsia="楷体"/>
                <w:b/>
                <w:bCs/>
              </w:rPr>
              <w:t>1</w:t>
            </w:r>
            <w:r>
              <w:rPr>
                <w:rFonts w:ascii="楷体" w:hAnsi="楷体" w:eastAsia="楷体"/>
                <w:b/>
                <w:bCs/>
              </w:rPr>
              <w:t>8</w:t>
            </w:r>
          </w:p>
        </w:tc>
        <w:tc>
          <w:tcPr>
            <w:tcW w:w="821" w:type="dxa"/>
            <w:vAlign w:val="center"/>
          </w:tcPr>
          <w:p>
            <w:pPr>
              <w:jc w:val="center"/>
              <w:rPr>
                <w:rFonts w:ascii="楷体" w:hAnsi="楷体" w:eastAsia="楷体"/>
                <w:b/>
                <w:bCs/>
              </w:rPr>
            </w:pPr>
            <w:r>
              <w:rPr>
                <w:rFonts w:hint="eastAsia" w:ascii="楷体" w:hAnsi="楷体" w:eastAsia="楷体"/>
                <w:b/>
                <w:bCs/>
              </w:rPr>
              <w:t>1.12</w:t>
            </w:r>
          </w:p>
        </w:tc>
        <w:tc>
          <w:tcPr>
            <w:tcW w:w="3398" w:type="dxa"/>
            <w:vAlign w:val="center"/>
          </w:tcPr>
          <w:p>
            <w:pPr>
              <w:jc w:val="center"/>
              <w:rPr>
                <w:rFonts w:ascii="楷体" w:hAnsi="楷体" w:eastAsia="楷体"/>
                <w:b/>
                <w:bCs/>
                <w:color w:val="A50021"/>
              </w:rPr>
            </w:pPr>
            <w:r>
              <w:rPr>
                <w:rFonts w:hint="eastAsia" w:ascii="楷体" w:hAnsi="楷体" w:eastAsia="楷体"/>
                <w:b/>
                <w:bCs/>
                <w:color w:val="A50021"/>
              </w:rPr>
              <w:t>典型论文展示、论文撰写交流</w:t>
            </w:r>
          </w:p>
        </w:tc>
        <w:tc>
          <w:tcPr>
            <w:tcW w:w="2319" w:type="dxa"/>
            <w:vAlign w:val="center"/>
          </w:tcPr>
          <w:p>
            <w:pPr>
              <w:jc w:val="center"/>
              <w:rPr>
                <w:rFonts w:ascii="楷体" w:hAnsi="楷体" w:eastAsia="楷体"/>
                <w:b/>
                <w:bCs/>
              </w:rPr>
            </w:pPr>
            <w:r>
              <w:rPr>
                <w:rFonts w:hint="eastAsia" w:ascii="楷体" w:hAnsi="楷体" w:eastAsia="楷体"/>
                <w:b/>
                <w:bCs/>
                <w:color w:val="A50021"/>
              </w:rPr>
              <w:t>如何撰写、设计论文</w:t>
            </w:r>
          </w:p>
        </w:tc>
        <w:tc>
          <w:tcPr>
            <w:tcW w:w="2694" w:type="dxa"/>
            <w:vAlign w:val="center"/>
          </w:tcPr>
          <w:p>
            <w:pPr>
              <w:jc w:val="center"/>
              <w:rPr>
                <w:rFonts w:ascii="楷体" w:hAnsi="楷体" w:eastAsia="楷体"/>
                <w:b/>
                <w:bCs/>
              </w:rPr>
            </w:pPr>
            <w:r>
              <w:rPr>
                <w:rFonts w:hint="eastAsia" w:ascii="楷体" w:hAnsi="楷体" w:eastAsia="楷体"/>
                <w:b/>
                <w:bCs/>
                <w:color w:val="A50021"/>
              </w:rPr>
              <w:t>结合自身实际修改自己的论文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ascii="楷体" w:hAnsi="楷体" w:eastAsia="楷体"/>
                <w:b/>
                <w:bCs/>
              </w:rPr>
            </w:pPr>
            <w:r>
              <w:rPr>
                <w:rFonts w:hint="eastAsia" w:ascii="楷体" w:hAnsi="楷体" w:eastAsia="楷体"/>
                <w:b/>
                <w:bCs/>
              </w:rPr>
              <w:t>1</w:t>
            </w:r>
            <w:r>
              <w:rPr>
                <w:rFonts w:ascii="楷体" w:hAnsi="楷体" w:eastAsia="楷体"/>
                <w:b/>
                <w:bCs/>
              </w:rPr>
              <w:t>9</w:t>
            </w:r>
          </w:p>
        </w:tc>
        <w:tc>
          <w:tcPr>
            <w:tcW w:w="821" w:type="dxa"/>
            <w:vAlign w:val="center"/>
          </w:tcPr>
          <w:p>
            <w:pPr>
              <w:jc w:val="center"/>
              <w:rPr>
                <w:rFonts w:ascii="楷体" w:hAnsi="楷体" w:eastAsia="楷体"/>
                <w:b/>
                <w:bCs/>
              </w:rPr>
            </w:pPr>
            <w:r>
              <w:rPr>
                <w:rFonts w:hint="eastAsia" w:ascii="楷体" w:hAnsi="楷体" w:eastAsia="楷体"/>
                <w:b/>
                <w:bCs/>
              </w:rPr>
              <w:t>1.19</w:t>
            </w:r>
          </w:p>
        </w:tc>
        <w:tc>
          <w:tcPr>
            <w:tcW w:w="3398" w:type="dxa"/>
            <w:vAlign w:val="center"/>
          </w:tcPr>
          <w:p>
            <w:pPr>
              <w:jc w:val="center"/>
              <w:rPr>
                <w:rFonts w:ascii="楷体" w:hAnsi="楷体" w:eastAsia="楷体"/>
                <w:b/>
                <w:bCs/>
              </w:rPr>
            </w:pPr>
            <w:r>
              <w:rPr>
                <w:rFonts w:hint="eastAsia" w:ascii="楷体" w:hAnsi="楷体" w:eastAsia="楷体"/>
                <w:b/>
                <w:bCs/>
              </w:rPr>
              <w:t>教研组总结</w:t>
            </w:r>
          </w:p>
        </w:tc>
        <w:tc>
          <w:tcPr>
            <w:tcW w:w="2319" w:type="dxa"/>
            <w:vAlign w:val="center"/>
          </w:tcPr>
          <w:p>
            <w:pPr>
              <w:jc w:val="center"/>
              <w:rPr>
                <w:rFonts w:ascii="楷体" w:hAnsi="楷体" w:eastAsia="楷体"/>
                <w:b/>
                <w:bCs/>
              </w:rPr>
            </w:pPr>
          </w:p>
        </w:tc>
        <w:tc>
          <w:tcPr>
            <w:tcW w:w="2694" w:type="dxa"/>
            <w:vAlign w:val="center"/>
          </w:tcPr>
          <w:p>
            <w:pPr>
              <w:jc w:val="center"/>
              <w:rPr>
                <w:rFonts w:ascii="楷体" w:hAnsi="楷体" w:eastAsia="楷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ascii="楷体" w:hAnsi="楷体" w:eastAsia="楷体"/>
                <w:b/>
                <w:bCs/>
              </w:rPr>
            </w:pPr>
            <w:r>
              <w:rPr>
                <w:rFonts w:hint="eastAsia" w:ascii="楷体" w:hAnsi="楷体" w:eastAsia="楷体"/>
                <w:b/>
                <w:bCs/>
              </w:rPr>
              <w:t>20</w:t>
            </w:r>
          </w:p>
        </w:tc>
        <w:tc>
          <w:tcPr>
            <w:tcW w:w="821" w:type="dxa"/>
            <w:vAlign w:val="center"/>
          </w:tcPr>
          <w:p>
            <w:pPr>
              <w:jc w:val="center"/>
              <w:rPr>
                <w:rFonts w:ascii="楷体" w:hAnsi="楷体" w:eastAsia="楷体"/>
                <w:b/>
                <w:bCs/>
              </w:rPr>
            </w:pPr>
            <w:r>
              <w:rPr>
                <w:rFonts w:hint="eastAsia" w:ascii="楷体" w:hAnsi="楷体" w:eastAsia="楷体"/>
                <w:b/>
                <w:bCs/>
              </w:rPr>
              <w:t>1.26</w:t>
            </w:r>
          </w:p>
        </w:tc>
        <w:tc>
          <w:tcPr>
            <w:tcW w:w="3398" w:type="dxa"/>
            <w:vAlign w:val="center"/>
          </w:tcPr>
          <w:p>
            <w:pPr>
              <w:jc w:val="center"/>
              <w:rPr>
                <w:rFonts w:ascii="楷体" w:hAnsi="楷体" w:eastAsia="楷体"/>
                <w:b/>
                <w:bCs/>
                <w:color w:val="FF0000"/>
              </w:rPr>
            </w:pPr>
          </w:p>
        </w:tc>
        <w:tc>
          <w:tcPr>
            <w:tcW w:w="2319" w:type="dxa"/>
            <w:vAlign w:val="center"/>
          </w:tcPr>
          <w:p>
            <w:pPr>
              <w:jc w:val="center"/>
              <w:rPr>
                <w:rFonts w:ascii="楷体" w:hAnsi="楷体" w:eastAsia="楷体"/>
                <w:b/>
                <w:bCs/>
                <w:color w:val="FF0000"/>
              </w:rPr>
            </w:pPr>
          </w:p>
        </w:tc>
        <w:tc>
          <w:tcPr>
            <w:tcW w:w="2694" w:type="dxa"/>
            <w:vAlign w:val="center"/>
          </w:tcPr>
          <w:p>
            <w:pPr>
              <w:jc w:val="center"/>
              <w:rPr>
                <w:rFonts w:ascii="楷体" w:hAnsi="楷体" w:eastAsia="楷体"/>
                <w:b/>
                <w:bCs/>
              </w:rPr>
            </w:pPr>
          </w:p>
        </w:tc>
      </w:tr>
    </w:tbl>
    <w:p>
      <w:pPr>
        <w:spacing w:line="312" w:lineRule="auto"/>
      </w:pPr>
    </w:p>
    <w:sectPr>
      <w:pgSz w:w="11906" w:h="16838"/>
      <w:pgMar w:top="1021" w:right="1021" w:bottom="1021" w:left="102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2BD70"/>
    <w:multiLevelType w:val="singleLevel"/>
    <w:tmpl w:val="8BC2BD70"/>
    <w:lvl w:ilvl="0" w:tentative="0">
      <w:start w:val="3"/>
      <w:numFmt w:val="decimal"/>
      <w:suff w:val="nothing"/>
      <w:lvlText w:val="%1、"/>
      <w:lvlJc w:val="left"/>
    </w:lvl>
  </w:abstractNum>
  <w:abstractNum w:abstractNumId="1">
    <w:nsid w:val="A348AB6A"/>
    <w:multiLevelType w:val="singleLevel"/>
    <w:tmpl w:val="A348AB6A"/>
    <w:lvl w:ilvl="0" w:tentative="0">
      <w:start w:val="1"/>
      <w:numFmt w:val="decimal"/>
      <w:suff w:val="space"/>
      <w:lvlText w:val="%1."/>
      <w:lvlJc w:val="left"/>
    </w:lvl>
  </w:abstractNum>
  <w:abstractNum w:abstractNumId="2">
    <w:nsid w:val="A91FC857"/>
    <w:multiLevelType w:val="singleLevel"/>
    <w:tmpl w:val="A91FC857"/>
    <w:lvl w:ilvl="0" w:tentative="0">
      <w:start w:val="1"/>
      <w:numFmt w:val="chineseCounting"/>
      <w:suff w:val="nothing"/>
      <w:lvlText w:val="（%1）"/>
      <w:lvlJc w:val="left"/>
      <w:rPr>
        <w:rFonts w:hint="eastAsia"/>
      </w:rPr>
    </w:lvl>
  </w:abstractNum>
  <w:abstractNum w:abstractNumId="3">
    <w:nsid w:val="5C6F510B"/>
    <w:multiLevelType w:val="multilevel"/>
    <w:tmpl w:val="5C6F510B"/>
    <w:lvl w:ilvl="0" w:tentative="0">
      <w:start w:val="1"/>
      <w:numFmt w:val="bullet"/>
      <w:lvlText w:val=""/>
      <w:lvlJc w:val="left"/>
      <w:pPr>
        <w:ind w:left="631" w:hanging="420"/>
      </w:pPr>
      <w:rPr>
        <w:rFonts w:hint="default" w:ascii="Wingdings" w:hAnsi="Wingdings"/>
      </w:rPr>
    </w:lvl>
    <w:lvl w:ilvl="1" w:tentative="0">
      <w:start w:val="1"/>
      <w:numFmt w:val="bullet"/>
      <w:lvlText w:val=""/>
      <w:lvlJc w:val="left"/>
      <w:pPr>
        <w:ind w:left="1051" w:hanging="420"/>
      </w:pPr>
      <w:rPr>
        <w:rFonts w:hint="default" w:ascii="Wingdings" w:hAnsi="Wingdings"/>
      </w:rPr>
    </w:lvl>
    <w:lvl w:ilvl="2" w:tentative="0">
      <w:start w:val="1"/>
      <w:numFmt w:val="bullet"/>
      <w:lvlText w:val=""/>
      <w:lvlJc w:val="left"/>
      <w:pPr>
        <w:ind w:left="1471" w:hanging="420"/>
      </w:pPr>
      <w:rPr>
        <w:rFonts w:hint="default" w:ascii="Wingdings" w:hAnsi="Wingdings"/>
      </w:rPr>
    </w:lvl>
    <w:lvl w:ilvl="3" w:tentative="0">
      <w:start w:val="1"/>
      <w:numFmt w:val="bullet"/>
      <w:lvlText w:val=""/>
      <w:lvlJc w:val="left"/>
      <w:pPr>
        <w:ind w:left="1891" w:hanging="420"/>
      </w:pPr>
      <w:rPr>
        <w:rFonts w:hint="default" w:ascii="Wingdings" w:hAnsi="Wingdings"/>
      </w:rPr>
    </w:lvl>
    <w:lvl w:ilvl="4" w:tentative="0">
      <w:start w:val="1"/>
      <w:numFmt w:val="bullet"/>
      <w:lvlText w:val=""/>
      <w:lvlJc w:val="left"/>
      <w:pPr>
        <w:ind w:left="2311" w:hanging="420"/>
      </w:pPr>
      <w:rPr>
        <w:rFonts w:hint="default" w:ascii="Wingdings" w:hAnsi="Wingdings"/>
      </w:rPr>
    </w:lvl>
    <w:lvl w:ilvl="5" w:tentative="0">
      <w:start w:val="1"/>
      <w:numFmt w:val="bullet"/>
      <w:lvlText w:val=""/>
      <w:lvlJc w:val="left"/>
      <w:pPr>
        <w:ind w:left="2731" w:hanging="420"/>
      </w:pPr>
      <w:rPr>
        <w:rFonts w:hint="default" w:ascii="Wingdings" w:hAnsi="Wingdings"/>
      </w:rPr>
    </w:lvl>
    <w:lvl w:ilvl="6" w:tentative="0">
      <w:start w:val="1"/>
      <w:numFmt w:val="bullet"/>
      <w:lvlText w:val=""/>
      <w:lvlJc w:val="left"/>
      <w:pPr>
        <w:ind w:left="3151" w:hanging="420"/>
      </w:pPr>
      <w:rPr>
        <w:rFonts w:hint="default" w:ascii="Wingdings" w:hAnsi="Wingdings"/>
      </w:rPr>
    </w:lvl>
    <w:lvl w:ilvl="7" w:tentative="0">
      <w:start w:val="1"/>
      <w:numFmt w:val="bullet"/>
      <w:lvlText w:val=""/>
      <w:lvlJc w:val="left"/>
      <w:pPr>
        <w:ind w:left="3571" w:hanging="420"/>
      </w:pPr>
      <w:rPr>
        <w:rFonts w:hint="default" w:ascii="Wingdings" w:hAnsi="Wingdings"/>
      </w:rPr>
    </w:lvl>
    <w:lvl w:ilvl="8" w:tentative="0">
      <w:start w:val="1"/>
      <w:numFmt w:val="bullet"/>
      <w:lvlText w:val=""/>
      <w:lvlJc w:val="left"/>
      <w:pPr>
        <w:ind w:left="3991" w:hanging="42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75CC"/>
    <w:rsid w:val="00006650"/>
    <w:rsid w:val="0001504B"/>
    <w:rsid w:val="00024B52"/>
    <w:rsid w:val="00030031"/>
    <w:rsid w:val="00046AB2"/>
    <w:rsid w:val="000545DC"/>
    <w:rsid w:val="000C12CB"/>
    <w:rsid w:val="000E3FBF"/>
    <w:rsid w:val="00121F0B"/>
    <w:rsid w:val="001324A5"/>
    <w:rsid w:val="001368DB"/>
    <w:rsid w:val="0015294E"/>
    <w:rsid w:val="00183954"/>
    <w:rsid w:val="00187A77"/>
    <w:rsid w:val="001A408D"/>
    <w:rsid w:val="001B3ED2"/>
    <w:rsid w:val="001B4D6C"/>
    <w:rsid w:val="001F3246"/>
    <w:rsid w:val="001F4353"/>
    <w:rsid w:val="001F4EF2"/>
    <w:rsid w:val="001F7CB1"/>
    <w:rsid w:val="00265EF5"/>
    <w:rsid w:val="002705FF"/>
    <w:rsid w:val="00284B74"/>
    <w:rsid w:val="00295CE9"/>
    <w:rsid w:val="002A75B0"/>
    <w:rsid w:val="002F3E8E"/>
    <w:rsid w:val="00310E45"/>
    <w:rsid w:val="003129A7"/>
    <w:rsid w:val="00345164"/>
    <w:rsid w:val="00373EFA"/>
    <w:rsid w:val="003B5D1D"/>
    <w:rsid w:val="003F7C8C"/>
    <w:rsid w:val="00401CB0"/>
    <w:rsid w:val="004143D8"/>
    <w:rsid w:val="004240FE"/>
    <w:rsid w:val="004357BA"/>
    <w:rsid w:val="00445BF3"/>
    <w:rsid w:val="00456F96"/>
    <w:rsid w:val="00462B9F"/>
    <w:rsid w:val="004713B3"/>
    <w:rsid w:val="004D05B9"/>
    <w:rsid w:val="005001BC"/>
    <w:rsid w:val="005064DC"/>
    <w:rsid w:val="00523489"/>
    <w:rsid w:val="0053684A"/>
    <w:rsid w:val="00565BDF"/>
    <w:rsid w:val="005665D8"/>
    <w:rsid w:val="00576EE2"/>
    <w:rsid w:val="00577156"/>
    <w:rsid w:val="005A5A8A"/>
    <w:rsid w:val="005D4FC1"/>
    <w:rsid w:val="005D767C"/>
    <w:rsid w:val="006206DD"/>
    <w:rsid w:val="006516C0"/>
    <w:rsid w:val="00656C87"/>
    <w:rsid w:val="00683664"/>
    <w:rsid w:val="006A01CF"/>
    <w:rsid w:val="006B554E"/>
    <w:rsid w:val="006C45CB"/>
    <w:rsid w:val="00707704"/>
    <w:rsid w:val="00725573"/>
    <w:rsid w:val="007573D2"/>
    <w:rsid w:val="00767C5E"/>
    <w:rsid w:val="007769E6"/>
    <w:rsid w:val="00777EC6"/>
    <w:rsid w:val="007969EF"/>
    <w:rsid w:val="007E35B0"/>
    <w:rsid w:val="00847B24"/>
    <w:rsid w:val="00854ED6"/>
    <w:rsid w:val="0085656D"/>
    <w:rsid w:val="008624F4"/>
    <w:rsid w:val="008638C1"/>
    <w:rsid w:val="008A6E3D"/>
    <w:rsid w:val="008A751E"/>
    <w:rsid w:val="008C4C78"/>
    <w:rsid w:val="008D3E34"/>
    <w:rsid w:val="008E682B"/>
    <w:rsid w:val="008F4390"/>
    <w:rsid w:val="008F6347"/>
    <w:rsid w:val="0092558B"/>
    <w:rsid w:val="00931458"/>
    <w:rsid w:val="00934AD3"/>
    <w:rsid w:val="00976D74"/>
    <w:rsid w:val="00994E21"/>
    <w:rsid w:val="009A01F1"/>
    <w:rsid w:val="009A480E"/>
    <w:rsid w:val="009C75CC"/>
    <w:rsid w:val="009D2619"/>
    <w:rsid w:val="009E11F1"/>
    <w:rsid w:val="009F1E55"/>
    <w:rsid w:val="00A20B63"/>
    <w:rsid w:val="00A456CE"/>
    <w:rsid w:val="00A631C8"/>
    <w:rsid w:val="00A7056B"/>
    <w:rsid w:val="00A7122D"/>
    <w:rsid w:val="00AB5503"/>
    <w:rsid w:val="00AB7558"/>
    <w:rsid w:val="00AC4D00"/>
    <w:rsid w:val="00AE28E8"/>
    <w:rsid w:val="00AE63C7"/>
    <w:rsid w:val="00AE68B2"/>
    <w:rsid w:val="00AF37B1"/>
    <w:rsid w:val="00B0649C"/>
    <w:rsid w:val="00B121A7"/>
    <w:rsid w:val="00B50EAA"/>
    <w:rsid w:val="00B51460"/>
    <w:rsid w:val="00B677DC"/>
    <w:rsid w:val="00BA5F99"/>
    <w:rsid w:val="00BB0412"/>
    <w:rsid w:val="00BC3FE4"/>
    <w:rsid w:val="00BD6945"/>
    <w:rsid w:val="00BF2943"/>
    <w:rsid w:val="00C0608E"/>
    <w:rsid w:val="00C21688"/>
    <w:rsid w:val="00C2481E"/>
    <w:rsid w:val="00C45F8A"/>
    <w:rsid w:val="00C652EA"/>
    <w:rsid w:val="00C77C21"/>
    <w:rsid w:val="00CB185A"/>
    <w:rsid w:val="00CE530E"/>
    <w:rsid w:val="00CF2741"/>
    <w:rsid w:val="00CF786A"/>
    <w:rsid w:val="00D00599"/>
    <w:rsid w:val="00D12736"/>
    <w:rsid w:val="00D2556C"/>
    <w:rsid w:val="00DC2E3B"/>
    <w:rsid w:val="00DC3687"/>
    <w:rsid w:val="00DE6E0D"/>
    <w:rsid w:val="00E20134"/>
    <w:rsid w:val="00E30B0F"/>
    <w:rsid w:val="00E7721F"/>
    <w:rsid w:val="00E926B0"/>
    <w:rsid w:val="00EA7508"/>
    <w:rsid w:val="00EB2508"/>
    <w:rsid w:val="00EB2E35"/>
    <w:rsid w:val="00EB64E4"/>
    <w:rsid w:val="00EC327B"/>
    <w:rsid w:val="00EE0C92"/>
    <w:rsid w:val="00EE26D1"/>
    <w:rsid w:val="00F05F9F"/>
    <w:rsid w:val="00F26424"/>
    <w:rsid w:val="00F569B9"/>
    <w:rsid w:val="00F74031"/>
    <w:rsid w:val="00F81DFC"/>
    <w:rsid w:val="00F829FB"/>
    <w:rsid w:val="00F853C0"/>
    <w:rsid w:val="00F87FAB"/>
    <w:rsid w:val="00FB21BC"/>
    <w:rsid w:val="00FB275F"/>
    <w:rsid w:val="0263598D"/>
    <w:rsid w:val="052F0BD2"/>
    <w:rsid w:val="06B00BD2"/>
    <w:rsid w:val="06F65E82"/>
    <w:rsid w:val="0A3836B2"/>
    <w:rsid w:val="0AA1206C"/>
    <w:rsid w:val="0E0B7434"/>
    <w:rsid w:val="0E0D0139"/>
    <w:rsid w:val="14437F2E"/>
    <w:rsid w:val="15F47571"/>
    <w:rsid w:val="17DC4E27"/>
    <w:rsid w:val="18CA0066"/>
    <w:rsid w:val="1A043019"/>
    <w:rsid w:val="1A1071BE"/>
    <w:rsid w:val="1AF33156"/>
    <w:rsid w:val="1B15700E"/>
    <w:rsid w:val="1C482D79"/>
    <w:rsid w:val="22A02794"/>
    <w:rsid w:val="23796452"/>
    <w:rsid w:val="23A0052E"/>
    <w:rsid w:val="260058AB"/>
    <w:rsid w:val="272B1C6E"/>
    <w:rsid w:val="275012DA"/>
    <w:rsid w:val="278C6F9E"/>
    <w:rsid w:val="2ACB6874"/>
    <w:rsid w:val="31AB38FF"/>
    <w:rsid w:val="34E80CB1"/>
    <w:rsid w:val="34ED39A7"/>
    <w:rsid w:val="35713554"/>
    <w:rsid w:val="360E0AC1"/>
    <w:rsid w:val="3CDA5C0D"/>
    <w:rsid w:val="430D2B56"/>
    <w:rsid w:val="449E002E"/>
    <w:rsid w:val="44BC2D04"/>
    <w:rsid w:val="474E47C5"/>
    <w:rsid w:val="498A06FF"/>
    <w:rsid w:val="49C973EF"/>
    <w:rsid w:val="4D9425BB"/>
    <w:rsid w:val="4EC53737"/>
    <w:rsid w:val="4EF84EF9"/>
    <w:rsid w:val="5173724C"/>
    <w:rsid w:val="52BC5B18"/>
    <w:rsid w:val="5363554A"/>
    <w:rsid w:val="54FB56DE"/>
    <w:rsid w:val="556E52E5"/>
    <w:rsid w:val="5C521FBA"/>
    <w:rsid w:val="5CDE3FDF"/>
    <w:rsid w:val="5EA77699"/>
    <w:rsid w:val="626D38D2"/>
    <w:rsid w:val="67F13503"/>
    <w:rsid w:val="690222A5"/>
    <w:rsid w:val="69890798"/>
    <w:rsid w:val="69D94C39"/>
    <w:rsid w:val="69FB1622"/>
    <w:rsid w:val="6A1B0A63"/>
    <w:rsid w:val="6CA05A96"/>
    <w:rsid w:val="6CD30118"/>
    <w:rsid w:val="6D000B77"/>
    <w:rsid w:val="6D151E04"/>
    <w:rsid w:val="6DB5341F"/>
    <w:rsid w:val="717B3960"/>
    <w:rsid w:val="71C603F5"/>
    <w:rsid w:val="73D453E0"/>
    <w:rsid w:val="75890AA2"/>
    <w:rsid w:val="766A63A0"/>
    <w:rsid w:val="7DFB25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eastAsia="宋体" w:asciiTheme="minorHAnsi" w:hAnsiTheme="minorHAnsi" w:cstheme="minorBidi"/>
      <w:kern w:val="2"/>
      <w:sz w:val="24"/>
      <w:szCs w:val="22"/>
      <w:lang w:val="en-US" w:eastAsia="zh-CN" w:bidi="ar-SA"/>
    </w:rPr>
  </w:style>
  <w:style w:type="paragraph" w:styleId="2">
    <w:name w:val="heading 1"/>
    <w:basedOn w:val="1"/>
    <w:next w:val="1"/>
    <w:link w:val="10"/>
    <w:qFormat/>
    <w:uiPriority w:val="9"/>
    <w:pPr>
      <w:widowControl/>
      <w:spacing w:before="100" w:beforeAutospacing="1" w:after="100" w:afterAutospacing="1" w:line="240" w:lineRule="auto"/>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eastAsia="宋体"/>
      <w:sz w:val="18"/>
      <w:szCs w:val="18"/>
    </w:rPr>
  </w:style>
  <w:style w:type="character" w:customStyle="1" w:styleId="9">
    <w:name w:val="页脚 Char"/>
    <w:basedOn w:val="7"/>
    <w:link w:val="3"/>
    <w:qFormat/>
    <w:uiPriority w:val="99"/>
    <w:rPr>
      <w:rFonts w:eastAsia="宋体"/>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1105</Words>
  <Characters>6304</Characters>
  <Lines>52</Lines>
  <Paragraphs>14</Paragraphs>
  <TotalTime>1</TotalTime>
  <ScaleCrop>false</ScaleCrop>
  <LinksUpToDate>false</LinksUpToDate>
  <CharactersWithSpaces>7395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2019-07-08T00:27:00Z</dcterms:created>
  <dc:creator>yaqin jing</dc:creator>
  <cp:lastModifiedBy>Administrator</cp:lastModifiedBy>
  <cp:lastPrinted>2020-08-22T04:59:00Z</cp:lastPrinted>
  <dcterms:modified xsi:type="dcterms:W3CDTF">2020-08-27T09:43:22Z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