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70"/>
        </w:tabs>
        <w:ind w:firstLine="720"/>
        <w:jc w:val="center"/>
        <w:rPr>
          <w:rFonts w:eastAsia="黑体"/>
          <w:sz w:val="30"/>
          <w:szCs w:val="30"/>
        </w:rPr>
      </w:pPr>
      <w:r>
        <w:rPr>
          <w:rFonts w:hint="eastAsia" w:eastAsia="黑体"/>
          <w:sz w:val="30"/>
          <w:szCs w:val="30"/>
        </w:rPr>
        <w:t>洛阳中心小学各学科组学习研讨活动记录</w:t>
      </w:r>
    </w:p>
    <w:tbl>
      <w:tblPr>
        <w:tblStyle w:val="2"/>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76"/>
        <w:gridCol w:w="1429"/>
        <w:gridCol w:w="1161"/>
        <w:gridCol w:w="850"/>
        <w:gridCol w:w="993"/>
        <w:gridCol w:w="85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活动日期</w:t>
            </w:r>
          </w:p>
        </w:tc>
        <w:tc>
          <w:tcPr>
            <w:tcW w:w="1476" w:type="dxa"/>
            <w:shd w:val="clear" w:color="auto" w:fill="auto"/>
            <w:vAlign w:val="center"/>
          </w:tcPr>
          <w:p>
            <w:pPr>
              <w:tabs>
                <w:tab w:val="left" w:pos="5070"/>
              </w:tabs>
              <w:jc w:val="center"/>
              <w:rPr>
                <w:rFonts w:hint="default" w:ascii="楷体_GB2312" w:eastAsia="楷体_GB2312"/>
                <w:sz w:val="28"/>
                <w:szCs w:val="28"/>
                <w:lang w:val="en-US" w:eastAsia="zh-CN"/>
              </w:rPr>
            </w:pPr>
            <w:r>
              <w:rPr>
                <w:rFonts w:hint="eastAsia" w:ascii="楷体_GB2312" w:eastAsia="楷体_GB2312"/>
                <w:sz w:val="28"/>
                <w:szCs w:val="28"/>
              </w:rPr>
              <w:t>2020.</w:t>
            </w:r>
            <w:r>
              <w:rPr>
                <w:rFonts w:hint="eastAsia" w:ascii="楷体_GB2312" w:eastAsia="楷体_GB2312"/>
                <w:sz w:val="28"/>
                <w:szCs w:val="28"/>
                <w:lang w:val="en-US" w:eastAsia="zh-CN"/>
              </w:rPr>
              <w:t>2.28</w:t>
            </w:r>
          </w:p>
        </w:tc>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活动地点</w:t>
            </w:r>
          </w:p>
        </w:tc>
        <w:tc>
          <w:tcPr>
            <w:tcW w:w="1161"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线上</w:t>
            </w:r>
          </w:p>
        </w:tc>
        <w:tc>
          <w:tcPr>
            <w:tcW w:w="850"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主持</w:t>
            </w:r>
          </w:p>
        </w:tc>
        <w:tc>
          <w:tcPr>
            <w:tcW w:w="993" w:type="dxa"/>
            <w:shd w:val="clear" w:color="auto" w:fill="auto"/>
            <w:vAlign w:val="center"/>
          </w:tcPr>
          <w:p>
            <w:pPr>
              <w:tabs>
                <w:tab w:val="left" w:pos="5070"/>
              </w:tabs>
              <w:jc w:val="center"/>
              <w:rPr>
                <w:rFonts w:hint="eastAsia" w:ascii="楷体_GB2312" w:eastAsia="楷体_GB2312"/>
                <w:sz w:val="28"/>
                <w:szCs w:val="28"/>
                <w:lang w:eastAsia="zh-CN"/>
              </w:rPr>
            </w:pPr>
            <w:r>
              <w:rPr>
                <w:rFonts w:hint="eastAsia" w:ascii="楷体_GB2312" w:eastAsia="楷体_GB2312"/>
                <w:sz w:val="24"/>
                <w:szCs w:val="24"/>
                <w:lang w:eastAsia="zh-CN"/>
              </w:rPr>
              <w:t>蒋建军</w:t>
            </w:r>
          </w:p>
        </w:tc>
        <w:tc>
          <w:tcPr>
            <w:tcW w:w="850"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记录</w:t>
            </w:r>
          </w:p>
        </w:tc>
        <w:tc>
          <w:tcPr>
            <w:tcW w:w="1176" w:type="dxa"/>
            <w:shd w:val="clear" w:color="auto" w:fill="auto"/>
            <w:vAlign w:val="center"/>
          </w:tcPr>
          <w:p>
            <w:pPr>
              <w:tabs>
                <w:tab w:val="left" w:pos="5070"/>
              </w:tabs>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活动名称</w:t>
            </w:r>
          </w:p>
        </w:tc>
        <w:tc>
          <w:tcPr>
            <w:tcW w:w="7935" w:type="dxa"/>
            <w:gridSpan w:val="7"/>
            <w:shd w:val="clear" w:color="auto" w:fill="auto"/>
            <w:vAlign w:val="center"/>
          </w:tcPr>
          <w:p>
            <w:pPr>
              <w:tabs>
                <w:tab w:val="left" w:pos="5070"/>
              </w:tabs>
              <w:jc w:val="center"/>
              <w:rPr>
                <w:rFonts w:hint="eastAsia" w:ascii="楷体_GB2312" w:eastAsia="楷体_GB2312"/>
                <w:sz w:val="28"/>
                <w:szCs w:val="28"/>
                <w:lang w:eastAsia="zh-CN"/>
              </w:rPr>
            </w:pPr>
            <w:r>
              <w:rPr>
                <w:rFonts w:hint="eastAsia" w:ascii="楷体_GB2312" w:eastAsia="楷体_GB2312"/>
                <w:sz w:val="28"/>
                <w:szCs w:val="28"/>
                <w:lang w:eastAsia="zh-CN"/>
              </w:rPr>
              <w:t>第二单元《认识多位数》教材分析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出席成员</w:t>
            </w:r>
          </w:p>
        </w:tc>
        <w:tc>
          <w:tcPr>
            <w:tcW w:w="7935" w:type="dxa"/>
            <w:gridSpan w:val="7"/>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全体</w:t>
            </w:r>
            <w:r>
              <w:rPr>
                <w:rFonts w:hint="eastAsia" w:ascii="楷体_GB2312" w:eastAsia="楷体_GB2312"/>
                <w:sz w:val="28"/>
                <w:szCs w:val="28"/>
                <w:lang w:eastAsia="zh-CN"/>
              </w:rPr>
              <w:t>四年级数学</w:t>
            </w:r>
            <w:r>
              <w:rPr>
                <w:rFonts w:hint="eastAsia" w:ascii="楷体_GB2312" w:eastAsia="楷体_GB2312"/>
                <w:sz w:val="28"/>
                <w:szCs w:val="28"/>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活动仪程</w:t>
            </w:r>
          </w:p>
        </w:tc>
        <w:tc>
          <w:tcPr>
            <w:tcW w:w="7935" w:type="dxa"/>
            <w:gridSpan w:val="7"/>
            <w:shd w:val="clear" w:color="auto" w:fill="auto"/>
            <w:vAlign w:val="center"/>
          </w:tcPr>
          <w:p>
            <w:pPr>
              <w:tabs>
                <w:tab w:val="left" w:pos="5070"/>
              </w:tabs>
              <w:jc w:val="left"/>
              <w:rPr>
                <w:rFonts w:hint="eastAsia" w:ascii="楷体_GB2312" w:eastAsia="楷体_GB2312"/>
                <w:sz w:val="28"/>
                <w:szCs w:val="28"/>
                <w:lang w:eastAsia="zh-CN"/>
              </w:rPr>
            </w:pPr>
            <w:r>
              <w:rPr>
                <w:rFonts w:hint="eastAsia" w:ascii="楷体_GB2312" w:eastAsia="楷体_GB2312"/>
                <w:sz w:val="28"/>
                <w:szCs w:val="28"/>
              </w:rPr>
              <w:t>1.布置本次线上研讨任务</w:t>
            </w:r>
            <w:r>
              <w:rPr>
                <w:rFonts w:hint="eastAsia" w:ascii="楷体_GB2312" w:eastAsia="楷体_GB2312"/>
                <w:sz w:val="28"/>
                <w:szCs w:val="28"/>
                <w:lang w:eastAsia="zh-CN"/>
              </w:rPr>
              <w:t>。</w:t>
            </w:r>
          </w:p>
          <w:p>
            <w:pPr>
              <w:tabs>
                <w:tab w:val="left" w:pos="5070"/>
              </w:tabs>
              <w:jc w:val="left"/>
              <w:rPr>
                <w:rFonts w:ascii="楷体_GB2312" w:eastAsia="楷体_GB2312"/>
                <w:sz w:val="28"/>
                <w:szCs w:val="28"/>
              </w:rPr>
            </w:pPr>
            <w:r>
              <w:rPr>
                <w:rFonts w:hint="eastAsia" w:ascii="楷体_GB2312" w:eastAsia="楷体_GB2312"/>
                <w:sz w:val="28"/>
                <w:szCs w:val="28"/>
              </w:rPr>
              <w:t>2.各成员对</w:t>
            </w:r>
            <w:r>
              <w:rPr>
                <w:rFonts w:hint="eastAsia" w:ascii="楷体_GB2312" w:eastAsia="楷体_GB2312"/>
                <w:sz w:val="28"/>
                <w:szCs w:val="28"/>
                <w:lang w:eastAsia="zh-CN"/>
              </w:rPr>
              <w:t>第二单元教材进行解读。</w:t>
            </w:r>
          </w:p>
          <w:p>
            <w:pPr>
              <w:tabs>
                <w:tab w:val="left" w:pos="5070"/>
              </w:tabs>
              <w:jc w:val="left"/>
              <w:rPr>
                <w:rFonts w:hint="eastAsia" w:ascii="楷体_GB2312" w:eastAsia="楷体_GB2312"/>
                <w:sz w:val="28"/>
                <w:szCs w:val="28"/>
                <w:lang w:eastAsia="zh-CN"/>
              </w:rPr>
            </w:pPr>
            <w:r>
              <w:rPr>
                <w:rFonts w:hint="eastAsia" w:ascii="楷体_GB2312" w:eastAsia="楷体_GB2312"/>
                <w:sz w:val="28"/>
                <w:szCs w:val="28"/>
              </w:rPr>
              <w:t>3.部署下周</w:t>
            </w:r>
            <w:r>
              <w:rPr>
                <w:rFonts w:hint="eastAsia" w:ascii="楷体_GB2312" w:eastAsia="楷体_GB2312"/>
                <w:sz w:val="28"/>
                <w:szCs w:val="28"/>
                <w:lang w:eastAsia="zh-CN"/>
              </w:rPr>
              <w:t>研讨</w:t>
            </w:r>
            <w:r>
              <w:rPr>
                <w:rFonts w:hint="eastAsia" w:ascii="楷体_GB2312" w:eastAsia="楷体_GB2312"/>
                <w:sz w:val="28"/>
                <w:szCs w:val="28"/>
              </w:rPr>
              <w:t>任务</w:t>
            </w:r>
            <w:r>
              <w:rPr>
                <w:rFonts w:hint="eastAsia" w:ascii="楷体_GB2312" w:eastAsia="楷体_GB2312"/>
                <w:sz w:val="28"/>
                <w:szCs w:val="28"/>
                <w:lang w:eastAsia="zh-CN"/>
              </w:rPr>
              <w:t>：关于线上教学与作业的批改。</w:t>
            </w:r>
          </w:p>
        </w:tc>
      </w:tr>
    </w:tbl>
    <w:p>
      <w:pPr>
        <w:tabs>
          <w:tab w:val="left" w:pos="5070"/>
        </w:tabs>
        <w:rPr>
          <w:rFonts w:ascii="楷体_GB2312" w:eastAsia="楷体_GB2312"/>
          <w:sz w:val="28"/>
          <w:szCs w:val="28"/>
        </w:rPr>
      </w:pPr>
      <w:r>
        <w:rPr>
          <w:rFonts w:hint="eastAsia" w:ascii="楷体_GB2312" w:eastAsia="楷体_GB2312"/>
          <w:sz w:val="28"/>
          <w:szCs w:val="28"/>
        </w:rPr>
        <w:t>活动记录：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eastAsia="zh-CN"/>
        </w:rPr>
        <w:t>王振方：</w:t>
      </w:r>
      <w:r>
        <w:rPr>
          <w:rFonts w:hint="eastAsia"/>
          <w:sz w:val="24"/>
          <w:szCs w:val="24"/>
        </w:rPr>
        <w:t>经过20以内的数、100以内的数、10000以内的数三个循环的认数教学，学生已经获得了许多数的知识。他们联系实际，体会了数的意义，初步建立了数概念；学会了表示数的方法和技能，会认、读、写一万以内的整数；感受了数与现实生活的密切联系，能用数表达身边的物体有多少个……人们在日常生活和生产劳动中，也会经常接触到较大的数，需要用大数来表达和交流，这就要求拥有大数的知识。已经认识的数以及已有的认数活动经验，使学生具备了进一步学习大数的条件。本单元的教学内容主要是十进制计数法。包括万级和亿级的计数单位和相应的数位，多位数的组成和读、写方法，多位数的改写和近似数，多位数的大小比较以及实际应用等内容。掌握这些知识，能够加深对整数的认识，在现实情境中更好地应用整数，并为进行多位数的四则计算以及认识小数打下基础。全单元的教学内容比较多，从认识五位数到认识十二位数的跨度相当大，因此编排七道例题，具体安排：例1 计数单位“十万”“百万”“千万”，亿以内的数位顺序表，整万数的意义与读写方法</w:t>
      </w:r>
      <w:r>
        <w:rPr>
          <w:rFonts w:hint="eastAsia"/>
          <w:sz w:val="24"/>
          <w:szCs w:val="24"/>
          <w:lang w:eastAsia="zh-CN"/>
        </w:rPr>
        <w:t>，</w:t>
      </w:r>
      <w:r>
        <w:rPr>
          <w:rFonts w:hint="eastAsia"/>
          <w:sz w:val="24"/>
          <w:szCs w:val="24"/>
        </w:rPr>
        <w:t>例2 亿以内数（万级与个级都不是0的数）的组成和读、写规则</w:t>
      </w:r>
      <w:r>
        <w:rPr>
          <w:rFonts w:hint="eastAsia"/>
          <w:sz w:val="24"/>
          <w:szCs w:val="24"/>
          <w:lang w:eastAsia="zh-CN"/>
        </w:rPr>
        <w:t>，</w:t>
      </w:r>
      <w:r>
        <w:rPr>
          <w:rFonts w:hint="eastAsia"/>
          <w:sz w:val="24"/>
          <w:szCs w:val="24"/>
        </w:rPr>
        <w:t>例3 计数单位“亿”“十亿”“百亿”“千亿”，整亿数的意义和读、写，整数数位顺序表，十进制计数法</w:t>
      </w:r>
      <w:r>
        <w:rPr>
          <w:rFonts w:hint="eastAsia"/>
          <w:sz w:val="24"/>
          <w:szCs w:val="24"/>
          <w:lang w:eastAsia="zh-CN"/>
        </w:rPr>
        <w:t>，</w:t>
      </w:r>
      <w:r>
        <w:rPr>
          <w:rFonts w:hint="eastAsia"/>
          <w:sz w:val="24"/>
          <w:szCs w:val="24"/>
        </w:rPr>
        <w:t>例4个级上是0的多 位数的组成与读、写</w:t>
      </w:r>
      <w:r>
        <w:rPr>
          <w:rFonts w:hint="eastAsia"/>
          <w:sz w:val="24"/>
          <w:szCs w:val="24"/>
          <w:lang w:eastAsia="zh-CN"/>
        </w:rPr>
        <w:t>，</w:t>
      </w:r>
      <w:r>
        <w:rPr>
          <w:rFonts w:hint="eastAsia"/>
          <w:sz w:val="24"/>
          <w:szCs w:val="24"/>
        </w:rPr>
        <w:t>例5比较多位数的大小，整万数、整亿数的简写</w:t>
      </w:r>
      <w:r>
        <w:rPr>
          <w:rFonts w:hint="eastAsia"/>
          <w:sz w:val="24"/>
          <w:szCs w:val="24"/>
          <w:lang w:eastAsia="zh-CN"/>
        </w:rPr>
        <w:t>，</w:t>
      </w:r>
      <w:r>
        <w:rPr>
          <w:rFonts w:hint="eastAsia"/>
          <w:sz w:val="24"/>
          <w:szCs w:val="24"/>
        </w:rPr>
        <w:t>例6近似数的含义</w:t>
      </w:r>
      <w:r>
        <w:rPr>
          <w:rFonts w:hint="eastAsia"/>
          <w:sz w:val="24"/>
          <w:szCs w:val="24"/>
          <w:lang w:eastAsia="zh-CN"/>
        </w:rPr>
        <w:t>，</w:t>
      </w:r>
      <w:r>
        <w:rPr>
          <w:rFonts w:hint="eastAsia"/>
          <w:sz w:val="24"/>
          <w:szCs w:val="24"/>
        </w:rPr>
        <w:t>例7求多位数的近似数练习四</w:t>
      </w:r>
      <w:r>
        <w:rPr>
          <w:rFonts w:hint="eastAsia"/>
          <w:sz w:val="24"/>
          <w:szCs w:val="24"/>
          <w:lang w:eastAsia="zh-CN"/>
        </w:rPr>
        <w:t>。</w:t>
      </w:r>
      <w:r>
        <w:rPr>
          <w:rFonts w:hint="eastAsia"/>
          <w:sz w:val="24"/>
          <w:szCs w:val="24"/>
        </w:rPr>
        <w:t>可以看到，全单元内容分成两大段。前四道例题着重认识多位数的意义和计数方法，从整万数到非整万数，从整亿数到非整亿数，教材编排十分细致，有利于学生逐步认识各个计数单位和数位，循序渐进地掌握多位数的组成以及读法、写法。后三道例题教学比较多位数的大小、改写多位数和求多位数的近似数，这些都是多位数的数学应用，有助于学生进一步理解数的意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sz w:val="24"/>
          <w:szCs w:val="24"/>
          <w:lang w:eastAsia="zh-CN"/>
        </w:rPr>
        <w:t>邵惠芳：教材把亿以内数和亿以上数的教学分开编排，因为认识多位数需要建立“十万”“百万”“千万”“亿”“十亿”“百亿”“千亿”等计数单位的概念，以及相应的“十万位”“百万位”“千万位”“亿位”“十亿位”“百亿位”“千亿位”等数位概念，把这些计数单位和数位分成两段教学比合成一段教学要好一些。再说，我国分析多位数的组成以及读、写多位数一般都分级进行，即按“级”分析数的组成（若干个亿、若干个万、若干个一组成的数），按“级”读、写数（依次读写亿级、万级、个级上的数）。把认识多位数的基础知识按亿以内的数和亿以上的数分开教学也符合我国的计数习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sz w:val="24"/>
          <w:szCs w:val="24"/>
          <w:lang w:eastAsia="zh-CN"/>
        </w:rPr>
        <w:t>庄洁：认数教学以理解数的意义为重点，围绕十进制计数法展开。十进制计数法是本单元内容的核心，无论是认识大数还是比较数的大小，或是把大数改写成“万”或“亿”作单位的数，都离不开十进制计数原理。学生对十进制计数法的体验，是在认数、比较数的大小、改写较大数等活动中逐渐实现的。他们在学习万以内数的时候，已经有些初步的体会，在本单元的认数学习中会有更清楚的理解。理解大数的意义，形成大数的概念，进一步发展数感是本单元教学的重要任务。为了帮助学生理解大数的意义，掌握多位数的知识，教材编写注意了以下四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sz w:val="24"/>
          <w:szCs w:val="24"/>
          <w:lang w:eastAsia="zh-CN"/>
        </w:rPr>
        <w:t>许筱华：在具体情境和现实需要中认识大数。从四位数到十二位数是很大的跨越，学生在日常生活中鲜有接触大数的机会，因而缺乏对大数的感性认识和认识大数的动机，这是学习大数往往感到困难的重要原因。为了弥补这点不足，教材十分重视联系现实情境教学较大的数。在优化的知识结构中认识大数。本单元的认数教学从最小的五位数到最大的十二位数，是很大的跨越。其间要形成七个计数单位，建立七个相应的数位。即使教材努力联系现实教学大数，计数单位和数位仍然是相当抽象的知识。其间要认、读、写各种情况的大数，应用并发展原有的读、写数的知识与经验。从有利于学生学习大数出发，本单元的前四道例题作了十分细致的安排：先教学亿以内的数，再教学亿以上的数；亿以内的数中，先教学整万数，后教学若干个万与若干个一组成的数；亿以上的数中，先教学整亿数，后教学若干个亿与若干个万组成的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sz w:val="24"/>
          <w:szCs w:val="24"/>
          <w:lang w:eastAsia="zh-CN"/>
        </w:rPr>
        <w:t>尤玲琦：联系实际应用，体会改写“万”作单位或“亿”作单位的数，体会近似数的含义以及求多位数的近似数的方法。整万数和整亿数如果采用一般写法，末尾有许多个0，读数和写数都不方便，而且容易出错。如果采用“万”和“亿”作单位，读、写都比较简便，交流也方便。所以，日常生活和生产劳动中，人们往往采用简便的形式表示整万数和整亿数。教学整万数、整亿数的改写，不仅要揭示改写的方法，而且要理解改写的原理。因为整万数是若干个万组成的数，所以能省略个级上的四个0，直接写成以“万”为单位的数。整亿数是若干个亿组成的数，能省略个级和万级上的八个0，直接写成以“亿”为单位的数。一定要让学生理解，6700000000和67亿是同一个数的两种写法，它们之间可以写等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sz w:val="24"/>
          <w:szCs w:val="24"/>
          <w:lang w:eastAsia="zh-CN"/>
        </w:rPr>
        <w:t>谢荣贵：算盘是我国传统的计算工具，在历史上曾经起过十分了不起的作用，是中华民族历史文明的一个标志，是中国人计算能力的表现。虽然计算器已经代替了算盘，人们不大需要使用算盘来计算了，但中国人应该知道算盘，应该知道我国曾经的辉煌历史。况且，算盘与计数器一样，都可以作为帮助认数的工具，而且算盘的“一粒上珠表示五”，比计数器的“一颗珠表示一”更加快捷。所以，教科书根据课程标准的要求（小学生应该认识算盘，会在算盘上表示整数，不进行四则计算），在算盘上教学整万数的认、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sz w:val="24"/>
          <w:szCs w:val="24"/>
          <w:lang w:eastAsia="zh-CN"/>
        </w:rPr>
        <w:t>蒋建军：写数练习，都结合着现实背景而进行。如</w:t>
      </w:r>
      <w:bookmarkStart w:id="0" w:name="_GoBack"/>
      <w:bookmarkEnd w:id="0"/>
      <w:r>
        <w:rPr>
          <w:rFonts w:hint="eastAsia"/>
          <w:sz w:val="24"/>
          <w:szCs w:val="24"/>
          <w:lang w:eastAsia="zh-CN"/>
        </w:rPr>
        <w:t>联系全世界目前确认的昆虫种数、恐龙灭绝的大致时间等数据读、写整万数；联系杭州湾跨海大桥的长度、地球赤道的周长、“神舟”九号飞船的速度、地球到月球的平均距离等数据读、写非整万数；联系我国部分省区2011年的电力消费量、我国2011年固定电话和移动电话的用户数等数据，读、写非整亿数。像这些在现实情境中进行读、写数的练习，不仅培养数学技能，而且增加了数学学科外的知识，更能让学生体会到大数在描述自然现象、社会生活、生产发展、经济增长等方面的作用，从而维持学习大数的热情。随着数概念的逐步形成和实际应用数的经验的积累，他们的数感也在逐步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D290F"/>
    <w:rsid w:val="06DE7A32"/>
    <w:rsid w:val="0B3B77F5"/>
    <w:rsid w:val="166972B6"/>
    <w:rsid w:val="270E3FE7"/>
    <w:rsid w:val="276A5E73"/>
    <w:rsid w:val="2CAC4CFF"/>
    <w:rsid w:val="2D9D2438"/>
    <w:rsid w:val="32ED74B3"/>
    <w:rsid w:val="43343809"/>
    <w:rsid w:val="44D37D69"/>
    <w:rsid w:val="4B3C0122"/>
    <w:rsid w:val="5B582786"/>
    <w:rsid w:val="616552FA"/>
    <w:rsid w:val="67073979"/>
    <w:rsid w:val="6FCF302B"/>
    <w:rsid w:val="77091759"/>
    <w:rsid w:val="7A09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2020-07-11T06:54:52Z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