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《农村小学生语文深度学习的实践研究》案例摘录和点评</w:t>
      </w:r>
    </w:p>
    <w:p>
      <w:pPr>
        <w:jc w:val="center"/>
        <w:rPr>
          <w:rFonts w:hint="eastAsia"/>
          <w:b/>
          <w:bCs/>
          <w:sz w:val="28"/>
          <w:szCs w:val="28"/>
          <w:u w:val="single"/>
          <w:lang w:val="en-US" w:eastAsia="zh-CN"/>
        </w:rPr>
      </w:pPr>
      <w:r>
        <w:rPr>
          <w:rFonts w:hint="eastAsia"/>
          <w:b/>
          <w:bCs/>
          <w:sz w:val="30"/>
          <w:szCs w:val="30"/>
          <w:lang w:val="en-US" w:eastAsia="zh-CN"/>
        </w:rPr>
        <w:t xml:space="preserve">                                     2020  </w:t>
      </w:r>
      <w:r>
        <w:rPr>
          <w:rFonts w:hint="eastAsia"/>
          <w:b/>
          <w:bCs/>
          <w:sz w:val="28"/>
          <w:szCs w:val="28"/>
          <w:lang w:val="en-US" w:eastAsia="zh-CN"/>
        </w:rPr>
        <w:t>年  6  月</w:t>
      </w:r>
    </w:p>
    <w:tbl>
      <w:tblPr>
        <w:tblStyle w:val="5"/>
        <w:tblW w:w="9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4560"/>
        <w:gridCol w:w="147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教学内容</w:t>
            </w:r>
          </w:p>
        </w:tc>
        <w:tc>
          <w:tcPr>
            <w:tcW w:w="4560" w:type="dxa"/>
            <w:vAlign w:val="center"/>
          </w:tcPr>
          <w:p>
            <w:pPr>
              <w:ind w:firstLine="843" w:firstLineChars="300"/>
              <w:jc w:val="both"/>
              <w:rPr>
                <w:rFonts w:hint="eastAsia"/>
                <w:b/>
                <w:bCs/>
                <w:sz w:val="28"/>
                <w:szCs w:val="28"/>
                <w:vertAlign w:val="baseline"/>
                <w:lang w:val="en-US" w:eastAsia="zh-CN"/>
              </w:rPr>
            </w:pPr>
            <w:r>
              <w:rPr>
                <w:rFonts w:hint="eastAsia"/>
                <w:b/>
                <w:bCs/>
                <w:sz w:val="28"/>
                <w:szCs w:val="28"/>
                <w:vertAlign w:val="baseline"/>
                <w:lang w:val="en-US" w:eastAsia="zh-CN"/>
              </w:rPr>
              <w:t>《牧场之国》</w:t>
            </w:r>
          </w:p>
        </w:tc>
        <w:tc>
          <w:tcPr>
            <w:tcW w:w="1470" w:type="dxa"/>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姓名</w:t>
            </w:r>
          </w:p>
        </w:tc>
        <w:tc>
          <w:tcPr>
            <w:tcW w:w="1365" w:type="dxa"/>
            <w:vAlign w:val="center"/>
          </w:tcPr>
          <w:p>
            <w:pPr>
              <w:jc w:val="center"/>
              <w:rPr>
                <w:rFonts w:hint="eastAsia" w:eastAsiaTheme="minorEastAsia"/>
                <w:b/>
                <w:bCs/>
                <w:sz w:val="28"/>
                <w:szCs w:val="28"/>
                <w:vertAlign w:val="baseline"/>
                <w:lang w:val="en-US" w:eastAsia="zh-CN"/>
              </w:rPr>
            </w:pPr>
            <w:r>
              <w:rPr>
                <w:rFonts w:hint="eastAsia"/>
                <w:b/>
                <w:bCs/>
                <w:sz w:val="28"/>
                <w:szCs w:val="28"/>
                <w:vertAlign w:val="baseline"/>
                <w:lang w:val="en-US" w:eastAsia="zh-CN"/>
              </w:rPr>
              <w:t>马婷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r>
              <w:rPr>
                <w:rFonts w:hint="eastAsia"/>
                <w:b/>
                <w:bCs/>
                <w:sz w:val="28"/>
                <w:szCs w:val="28"/>
                <w:vertAlign w:val="baseline"/>
                <w:lang w:val="en-US" w:eastAsia="zh-CN"/>
              </w:rPr>
              <w:t>案例呈现</w:t>
            </w:r>
          </w:p>
        </w:tc>
        <w:tc>
          <w:tcPr>
            <w:tcW w:w="7395" w:type="dxa"/>
            <w:gridSpan w:val="3"/>
          </w:tcPr>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诵读体验，感悟写法</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1．交流(重点赏析这几句)：</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①荷兰，是水之国，花之国，也是牧场之国。</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这是一个总起句，句子紧扣课题，开门见山，点明了荷兰是“水之国”“花之国”后，强调了本文重点要描写的是荷兰独特的地形特点：牧场范围广，这句话总领全文，下面就具体描写了荷兰广阔无际的牧场和生活在牧场上的无忧无虑的家畜、家禽。</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②牛群吃草时非常专注，有时站立不动，仿佛正在思考着什么。</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专注”指专心注意，这一拟人写法让人感到牛无论吃草还是站立时都像一个人那样深沉含蓄，不时地琢磨着生活中的各种问题，回味着草原的无边美景，由此可以看出整个低地是何等的安静祥和，外界对牛没有一点干扰。</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③极目远眺，四周全是碧绿的丝绒般的草原和黑白两色的花牛。</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这一句是对前面具体地描写了牛群活动场面的总括，句中“全是”让人想象到如同丝绒般柔软而细密的碧绿草原上，活动着的全是黑白两色的花牛，景致壮观，色彩明丽，于是作者发出了赞叹“这就是真正的荷兰”。</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④“辽阔无垠的原野似乎归它们所有，它们是这个自由王国的主人和公爵。”</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理解“自由王国”，感受“主人和公爵”，体会主人在家的悠然自得、无忧无虑，体会公爵在王国的尊贵地位、自由自在。</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没有牧人的吆喝，没有食物的纷争，没有强敌的进攻，马儿是这无边草原尊贵的主人，作者面对骏马无忧无虑、自由自在的生活，目睹它们在草原上无拘无束的自在和任意驰骋的英姿，感叹这草场与骏马的和谐。</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⑤狗不叫了，圈里的牛也不再发出哞哞声，马也忘记了踢马房的挡板。沉睡的牲畜，无声的低地，漆黑的夜晚，只有远处的几座灯塔在闪烁着微弱的光芒。</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晚霞消逝，夜幕降临，牲畜沉睡，一切都显得无声无息，只有远处的灯塔像瞌睡人的眼闪着昏黄暗淡的光，这是多么安然与宁静的境界啊！</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“这就是真正的荷兰”既是作者对荷兰特点的总结，又是作者对荷兰牧场呈现的不同的美发出的赞叹。</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2．教师小结：作者用比喻、拟人的手法让我们感受到牛、马、猪、羊把这天堂般的绿色草原、绿色的丝绒般的草原当成了自己的家，自己的王国，让我们感受到它们在这里生活得如此怡然自得、惬意舒畅，怪不得作者会不断地发出感叹：“这就是真正的荷兰！”，(再次齐读这句)怪不得作者会称荷兰是“牧场之国”！(再次齐读课题)</w:t>
            </w:r>
          </w:p>
          <w:p>
            <w:pPr>
              <w:spacing w:after="0" w:line="360" w:lineRule="auto"/>
              <w:ind w:firstLine="482" w:firstLineChars="200"/>
              <w:rPr>
                <w:rFonts w:hint="eastAsia" w:ascii="宋体" w:hAnsi="宋体" w:eastAsia="宋体" w:cs="宋体"/>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jc w:val="center"/>
              <w:rPr>
                <w:rFonts w:hint="eastAsia"/>
                <w:b/>
                <w:bCs/>
                <w:sz w:val="28"/>
                <w:szCs w:val="28"/>
                <w:vertAlign w:val="baseline"/>
                <w:lang w:val="en-US" w:eastAsia="zh-CN"/>
              </w:rPr>
            </w:pPr>
          </w:p>
          <w:p>
            <w:pPr>
              <w:jc w:val="center"/>
              <w:rPr>
                <w:rFonts w:hint="eastAsia"/>
                <w:b/>
                <w:bCs/>
                <w:sz w:val="28"/>
                <w:szCs w:val="28"/>
                <w:vertAlign w:val="baseline"/>
                <w:lang w:val="en-US" w:eastAsia="zh-CN"/>
              </w:rPr>
            </w:pPr>
          </w:p>
          <w:p>
            <w:pPr>
              <w:ind w:firstLine="562" w:firstLineChars="200"/>
              <w:jc w:val="both"/>
              <w:rPr>
                <w:rFonts w:hint="eastAsia"/>
                <w:b/>
                <w:bCs/>
                <w:sz w:val="28"/>
                <w:szCs w:val="28"/>
                <w:vertAlign w:val="baseline"/>
                <w:lang w:val="en-US" w:eastAsia="zh-CN"/>
              </w:rPr>
            </w:pPr>
            <w:r>
              <w:rPr>
                <w:rFonts w:hint="eastAsia"/>
                <w:b/>
                <w:bCs/>
                <w:sz w:val="28"/>
                <w:szCs w:val="28"/>
                <w:vertAlign w:val="baseline"/>
                <w:lang w:val="en-US" w:eastAsia="zh-CN"/>
              </w:rPr>
              <w:t>点评分析</w:t>
            </w:r>
          </w:p>
        </w:tc>
        <w:tc>
          <w:tcPr>
            <w:tcW w:w="7395" w:type="dxa"/>
            <w:gridSpan w:val="3"/>
          </w:tcPr>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sz w:val="24"/>
                <w:szCs w:val="24"/>
              </w:rPr>
            </w:pPr>
            <w:r>
              <w:rPr>
                <w:sz w:val="24"/>
                <w:szCs w:val="24"/>
              </w:rPr>
              <w:t>深度学习以理解性学习为前提，学生以批判性思维看待新事物与新知识，结合原有知识储备对新知识加以联想，将新旧知识融合在同一情境中，由此做出合理的判断与决策。本质上而言，深度学习是以充分理解为前提进行的教学活动与策略[1]。本文基于深度学习策略展开的小学语文课堂教学实践分为两个层面：深度理解能力培养、深度思考能力培养，详细探究如何深化小学生的语文学习能力。</w:t>
            </w: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asciiTheme="minorEastAsia" w:hAnsiTheme="minorEastAsia" w:eastAsiaTheme="minorEastAsia"/>
                <w:color w:val="222222"/>
                <w:sz w:val="24"/>
                <w:szCs w:val="24"/>
              </w:rPr>
            </w:pPr>
            <w:r>
              <w:rPr>
                <w:rFonts w:hint="eastAsia" w:asciiTheme="minorEastAsia" w:hAnsiTheme="minorEastAsia" w:eastAsiaTheme="minorEastAsia"/>
                <w:color w:val="222222"/>
                <w:sz w:val="24"/>
                <w:szCs w:val="24"/>
                <w:lang w:val="en-US" w:eastAsia="zh-CN"/>
              </w:rPr>
              <w:t>这段语句教学</w:t>
            </w:r>
            <w:r>
              <w:rPr>
                <w:rFonts w:hint="eastAsia" w:asciiTheme="minorEastAsia" w:hAnsiTheme="minorEastAsia" w:eastAsiaTheme="minorEastAsia"/>
                <w:color w:val="222222"/>
                <w:sz w:val="24"/>
                <w:szCs w:val="24"/>
              </w:rPr>
              <w:t>语言生动</w:t>
            </w:r>
            <w:r>
              <w:rPr>
                <w:rFonts w:hint="eastAsia" w:asciiTheme="minorEastAsia" w:hAnsiTheme="minorEastAsia" w:eastAsiaTheme="minorEastAsia"/>
                <w:color w:val="222222"/>
                <w:sz w:val="24"/>
                <w:szCs w:val="24"/>
                <w:lang w:val="en-US" w:eastAsia="zh-CN"/>
              </w:rPr>
              <w:t>,</w:t>
            </w:r>
            <w:r>
              <w:rPr>
                <w:rFonts w:hint="eastAsia" w:asciiTheme="minorEastAsia" w:hAnsiTheme="minorEastAsia" w:eastAsiaTheme="minorEastAsia"/>
                <w:color w:val="222222"/>
                <w:sz w:val="24"/>
                <w:szCs w:val="24"/>
              </w:rPr>
              <w:t xml:space="preserve">意境开阔优美 </w:t>
            </w:r>
            <w:r>
              <w:rPr>
                <w:rFonts w:hint="eastAsia" w:asciiTheme="minorEastAsia" w:hAnsiTheme="minorEastAsia" w:eastAsiaTheme="minorEastAsia"/>
                <w:color w:val="222222"/>
                <w:sz w:val="24"/>
                <w:szCs w:val="24"/>
                <w:lang w:val="en-US" w:eastAsia="zh-CN"/>
              </w:rPr>
              <w:t>,</w:t>
            </w:r>
            <w:r>
              <w:rPr>
                <w:rFonts w:hint="eastAsia" w:asciiTheme="minorEastAsia" w:hAnsiTheme="minorEastAsia" w:eastAsiaTheme="minorEastAsia"/>
                <w:color w:val="222222"/>
                <w:sz w:val="24"/>
                <w:szCs w:val="24"/>
              </w:rPr>
              <w:t xml:space="preserve">充满诗情画意 </w:t>
            </w:r>
            <w:r>
              <w:rPr>
                <w:rFonts w:hint="eastAsia" w:asciiTheme="minorEastAsia" w:hAnsiTheme="minorEastAsia" w:eastAsiaTheme="minorEastAsia"/>
                <w:color w:val="222222"/>
                <w:sz w:val="24"/>
                <w:szCs w:val="24"/>
                <w:lang w:val="en-US" w:eastAsia="zh-CN"/>
              </w:rPr>
              <w:t>.</w:t>
            </w:r>
            <w:r>
              <w:rPr>
                <w:rFonts w:hint="eastAsia" w:asciiTheme="minorEastAsia" w:hAnsiTheme="minorEastAsia" w:eastAsiaTheme="minorEastAsia"/>
                <w:color w:val="222222"/>
                <w:sz w:val="24"/>
                <w:szCs w:val="24"/>
              </w:rPr>
              <w:t>处处给人以美的享受、非常适合学生朗读，所以教学中 在学生理解想象的基础上加强朗读 运用多种形式的朗读，引导他们把课文读通、读懂、读深．进而达到书读百遍其意自见的目的、并通过有感情地朗读感受景色美 语言文字美从而受到美的熏陶，美的感染，陶冶学生的情操．进一步提高学生的审美能力和感情朗读的技巧</w:t>
            </w:r>
            <w:r>
              <w:rPr>
                <w:rFonts w:hint="eastAsia" w:asciiTheme="minorEastAsia" w:hAnsiTheme="minorEastAsia" w:eastAsiaTheme="minorEastAsia"/>
                <w:color w:val="222222"/>
                <w:sz w:val="24"/>
                <w:szCs w:val="24"/>
                <w:lang w:val="en-US" w:eastAsia="zh-CN"/>
              </w:rPr>
              <w:t>,</w:t>
            </w:r>
            <w:r>
              <w:rPr>
                <w:rFonts w:hint="eastAsia" w:ascii="宋体" w:hAnsi="宋体" w:eastAsia="宋体" w:cs="宋体"/>
                <w:sz w:val="24"/>
                <w:szCs w:val="24"/>
                <w:lang w:eastAsia="zh-CN"/>
              </w:rPr>
              <w:t>更好地进行了深度学习</w:t>
            </w:r>
            <w:r>
              <w:rPr>
                <w:rFonts w:hint="eastAsia" w:ascii="宋体" w:hAnsi="宋体" w:eastAsia="宋体" w:cs="宋体"/>
                <w:sz w:val="24"/>
                <w:szCs w:val="24"/>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Theme="minorEastAsia" w:hAnsiTheme="minorEastAsia" w:eastAsiaTheme="minorEastAsia"/>
                <w:color w:val="222222"/>
                <w:sz w:val="24"/>
                <w:szCs w:val="24"/>
              </w:rPr>
            </w:pPr>
            <w:r>
              <w:rPr>
                <w:rFonts w:hint="eastAsia" w:asciiTheme="minorEastAsia" w:hAnsiTheme="minorEastAsia" w:eastAsiaTheme="minorEastAsia"/>
                <w:color w:val="222222"/>
                <w:sz w:val="24"/>
                <w:szCs w:val="24"/>
              </w:rPr>
              <w:t xml:space="preserve">利用现代教育技术手段 为学生播放荷兰优美的田园风光视频．同时以语言描绘的方法深深打动学生的心灵极大程度的调动了学生学习的兴趣和积极性、课堂气氛轻松活跃、让学生感受课文语言文字美．真正领略到荷兰牧场的美丽 </w:t>
            </w:r>
            <w:bookmarkStart w:id="0" w:name="_GoBack"/>
            <w:bookmarkEnd w:id="0"/>
            <w:r>
              <w:rPr>
                <w:rFonts w:hint="eastAsia" w:asciiTheme="minorEastAsia" w:hAnsiTheme="minorEastAsia" w:eastAsiaTheme="minorEastAsia"/>
                <w:color w:val="222222"/>
                <w:sz w:val="24"/>
                <w:szCs w:val="24"/>
              </w:rPr>
              <w:t>得到美的享受。</w:t>
            </w:r>
          </w:p>
          <w:p>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Theme="minorEastAsia" w:hAnsiTheme="minorEastAsia" w:eastAsiaTheme="minorEastAsia"/>
                <w:color w:val="222222"/>
                <w:sz w:val="24"/>
                <w:szCs w:val="24"/>
              </w:rPr>
            </w:pPr>
            <w:r>
              <w:rPr>
                <w:sz w:val="24"/>
                <w:szCs w:val="24"/>
              </w:rPr>
              <w:t> 增加具有发散性思维的问题有利于启发小学生进行深层次思考，为此教师在语文课堂教学中坚决破除“标准答案”的陈旧观念，提供广泛的自由发挥空间让小学生畅所欲言，由此培养学生的创造性思维，这种做法可更深层次地整合内部资源，完善小学语文教学的知识体系。</w:t>
            </w:r>
          </w:p>
          <w:p>
            <w:pPr>
              <w:bidi w:val="0"/>
              <w:spacing w:after="280" w:afterAutospacing="1"/>
              <w:jc w:val="left"/>
              <w:rPr>
                <w:sz w:val="24"/>
                <w:szCs w:val="24"/>
              </w:rPr>
            </w:pPr>
          </w:p>
          <w:p>
            <w:pPr>
              <w:spacing w:after="0" w:line="360" w:lineRule="auto"/>
              <w:ind w:firstLine="482" w:firstLineChars="200"/>
              <w:jc w:val="both"/>
              <w:rPr>
                <w:rFonts w:hint="eastAsia" w:ascii="宋体" w:hAnsi="宋体" w:eastAsia="宋体" w:cs="宋体"/>
                <w:b/>
                <w:bCs/>
                <w:sz w:val="24"/>
                <w:szCs w:val="24"/>
                <w:vertAlign w:val="baseline"/>
                <w:lang w:val="en-US" w:eastAsia="zh-CN"/>
              </w:rPr>
            </w:pPr>
          </w:p>
        </w:tc>
      </w:tr>
    </w:tbl>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F3633"/>
    <w:rsid w:val="119C12AE"/>
    <w:rsid w:val="1962259E"/>
    <w:rsid w:val="21B70C8F"/>
    <w:rsid w:val="35AF3633"/>
    <w:rsid w:val="36637DA1"/>
    <w:rsid w:val="4DAD1A5E"/>
    <w:rsid w:val="53F2484B"/>
    <w:rsid w:val="54526FA8"/>
    <w:rsid w:val="77D95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2020-06-08T04:51:00Z</dcterms:created>
  <dc:creator>风吹百合香</dc:creator>
  <cp:lastModifiedBy>Sunshine</cp:lastModifiedBy>
  <dcterms:modified xsi:type="dcterms:W3CDTF">2020-07-09T23:51:49Z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