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870"/>
        <w:gridCol w:w="1893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870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93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五香鹌鹑蛋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咖喱鸡丁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滑油大排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酱汁鸭翅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香干肉丝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清炒毛白菜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酸辣鸭血汤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百叶结烧肉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杏鲍菇炒蛋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上汤苋菜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87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卤水肫肝</w:t>
            </w:r>
          </w:p>
        </w:tc>
        <w:tc>
          <w:tcPr>
            <w:tcW w:w="1893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鱼香肉丝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南瓜银耳羹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五香鹌鹑蛋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鹌鹑蛋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咖喱鸡丁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鸡丁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炒空菜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空心菜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滑油大排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大排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番茄炒蛋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干木耳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09"/>
        <w:gridCol w:w="775"/>
        <w:gridCol w:w="587"/>
        <w:gridCol w:w="982"/>
        <w:gridCol w:w="621"/>
        <w:gridCol w:w="621"/>
        <w:gridCol w:w="948"/>
        <w:gridCol w:w="763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酱汁鸭翅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鸭翅根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香干肉丝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白干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胡萝卜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干木耳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清炒毛白菜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酸辣鸭血汤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鸭血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6"/>
        <w:gridCol w:w="714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百叶结烧肉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百叶结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小块肉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70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杏鲍菇炒蛋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杏鲍菇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上汤苋菜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苋菜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6月19日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卤水肫肝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虾仁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鱼香肉丝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胡萝卜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both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南瓜银耳羹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南瓜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银耳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六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十二</w:t>
      </w:r>
      <w:bookmarkStart w:id="0" w:name="_GoBack"/>
      <w:bookmarkEnd w:id="0"/>
      <w:r>
        <w:rPr>
          <w:rFonts w:hint="eastAsia" w:ascii="宋体" w:hAnsi="宋体" w:cs="宋体"/>
          <w:sz w:val="28"/>
        </w:rPr>
        <w:t>日</w:t>
      </w:r>
    </w:p>
    <w:p>
      <w:pPr>
        <w:jc w:val="left"/>
        <w:rPr>
          <w:rFonts w:ascii="??_GB2312" w:hAnsi="??_GB2312" w:cs="??_GB2312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BAF0FCF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26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2020-06-12T08:39:17Z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