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读《名师名课珍珠篇》的一点收获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color="auto" w:fill="FFFFFF"/>
        </w:rPr>
        <w:instrText xml:space="preserve"> HYPERLINK "http://baike.sogou.com/lemma/ShowInnerLink.htm?lemmaId=66808974&amp;ss_c=ssc.citiao.link" \t "http://baike.sogou.com/_blank"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color="auto" w:fill="FFFFFF"/>
        </w:rPr>
        <w:t>小学数学名师名课:珍珠篇</w:t>
      </w:r>
      <w:r>
        <w:rPr>
          <w:rFonts w:hint="eastAsia" w:ascii="宋体" w:hAnsi="宋体" w:eastAsia="宋体" w:cs="宋体"/>
          <w:b w:val="0"/>
          <w:i w:val="0"/>
          <w:caps w:val="0"/>
          <w:color w:val="3366CC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》收录的是在全国影响力较大的名师未选人“成名篇”、“经典篇”、“异构篇”的精彩课例赏析，以及大型赛课中的优质课、中青年教学精英执教的精彩课例等。全书共分“名师精品课”、“优质比武课”和“自荐精彩课”三部分。这本书顾名思义，以发现、串掇课例中的“珍珠”，遴选、推介教师队伍中的“珍珠”为主要目的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夏青峰，中学高级教师，特级教师，教育博士生，曾获全国第三届小学数学教学比赛第一名，应邀至全国各地上课讲学200多场次，在《人民教育》《中国教育报》等省级以上报刊发表论文200多篇。曾任江苏省江阴市华士实验教育集团董事长、总校长，现任北京市朝阳区管庄学区党总支书记、管庄中心小学校长。 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郑美玲，福建省南靖县教师进修学校小学教研室主任。本科学历，小学数学高级教师，在《福建教育》《中小学数学》《小学教学设计》等杂志上发表了10多篇论文。先后被评为福建省优秀班主任、漳州市课改优秀教师、南靖县第二批优秀青年技术人才、漳州市优秀青年教师、漳州市研究型名师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在本书中教师们现代的新课标理念、新颖的设计、清晰的思路、灵活的教法给我留下了深刻的印象。其中，以下几点感受颇深：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一、教学设计精当，令人耳目一新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我平时的教学中，经常在处理某个教学重点、难点时，苦于很难找到很好的处理方法。在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读书时</w:t>
      </w:r>
      <w:r>
        <w:rPr>
          <w:rFonts w:hint="eastAsia" w:ascii="宋体" w:hAnsi="宋体" w:eastAsia="宋体" w:cs="宋体"/>
          <w:sz w:val="24"/>
          <w:szCs w:val="24"/>
        </w:rPr>
        <w:t>，我常常有了一种“山重水复疑无路，柳暗花明又一村”的感觉，原来“课”可以这样上。如：《两位数加两位数的口算》时，设计了一个让学生编题的过程。让学生先猜一猜4   ＋2   可能是多少，再让学生自主编三道得数是六十几，三道得数是七十几的题。学生在编题的过程中深刻体会到了“个位上的数字相加不满十，就是六十几，满十就是七十几”。教学难点不攻自破，真正体现了“做中学”的教学原则。又如:在《平均数》这一课的教学中，体会平均数的意义是这一课的重点，也是难点。在引入“平均数”这一概念时，自己教学时总觉得通过情境的创设使学生自己产生求平均数的欲望，显得有点牵强赴会，不是学生发自内心的需求。而宜兴市和桥实验小学的虞益锋老师在处理这一环节时，还是以班级男女生套圈比赛引入新课，有所不同的是：在“两队人数相同，每人套中的个数不同”的情况下比过后，又增设了一个环节“两队人数不同，每队中每人套种的个数正好相同”，很显然，比总个数不妥，为“平均数”概念的引入铺下了一道巧妙而又自然的“台阶”，令人回味无穷。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二、课堂教学扎实有效，突出知识的产生和发展过程。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优秀的</w:t>
      </w:r>
      <w:r>
        <w:rPr>
          <w:rFonts w:hint="eastAsia" w:ascii="宋体" w:hAnsi="宋体" w:eastAsia="宋体" w:cs="宋体"/>
          <w:sz w:val="24"/>
          <w:szCs w:val="24"/>
        </w:rPr>
        <w:t>教师不仅挖透教材，而且多角度地理解教材，驾驭教材，充分关注学生的表现，充分展示学生学习的全过程。如：在《认识分数》这一课中，教师围绕重难点，设计了一系列的操作活动：用一张长方形纸折出这张纸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EQ \F(1,2) 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，用不同形状的纸折一折，涂色表示出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EQ \F(1,4) </w:instrTex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等，环节目标的细化、落实，使学生真正地掌握了本节课目标中的基本知识和基本技能，解决了一些实实在在的数学问题，整个课堂教学充实、扎实、有效。又如：在《两位数加两位数的口算》中，课堂中多次运用比较，强调思维训练，渗透思想方法。另外，在卡片出题这一环节，先让学生说出是几十多，再说是几十几，将口算与估算密切结合，学生在积极的思维状态下，体会了算理，理解了算法，学生真正学有所得。</w:t>
      </w:r>
    </w:p>
    <w:p>
      <w:pPr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三、加强数学与生活的联系，极力构建生活化的课堂。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一位教师都善于沟通数学知识与生活实际的联系，创设出贴近学生生活实际的数学情境，让孩子们在生活场景中学习数学、理解数学、应用数学。体育馆、鸟巢以及本届奥运会中各个国家的获奖数据，在众多的课中都有所运用。福娃、米奇、米妮都不同程度地穿插在课的始终，丰富了课堂教学过程，激发了学生的学习积极性，向学生提供充分从事数学活动的机会，使学生真切地体会到数学就在我们身边，较好地落实了新课改强调的教师要让学生由“学会”变为“会学”，由“要我学”变为“我要学”的要求。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四、加强对学生探究能力的培养与训练。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上教师引导学生通过观察、操作、猜测、验证、推理等数学活动，通过学习全过程的经历，形成对数学知识的理解，从而使知识得以内化，方法得以迁移，能力得以形成。从学生的发展来看，数学学习需要学生个体的经历和体验，正所谓“我听到过，过眼云烟；我看到过，历历在目；我做到了，铭记在心；我体验过，沦肌浃髓”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五、加强对学生的动手实践能力和创新意识的培养。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课堂上追求包括观察、实验、猜想、推理、交流等“做数学”的形式，十分重视孩子的动手操作,重视孩子的手脑结合。俗话说：心灵手巧，要想真正的学好知识就是要孩子们主动地参与到学习活动中来，那么动手操作就是孩子们最喜爱的学习活动。在《认识角》、《观察物体》这几节课中，老师指导学生进行了一系列的操作实践活动，学生在老师的指导下动手操作、大胆实践、自主探究、合作交流地学习知识，学生的创新潜能得到了不同程度的开发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教案是教师在教学前自己钻研教材后的预设，但并不是课堂的唯一思路，在教学中根据学生接受程度的差异，我们应该随时调整自己的教学方案，使之适合于学生的心智水平，并在反复执教中不断地完善教案，使之更符合新课标所要求，就像名师们一样几易其稿，潜心研究，把自己的全部精力用于教学工作。仔细琢磨教师们的备课经验，他们总是倾注毕生精力去研究备课，即使是一篇执教很多次的课，仍会花时间、精力去深思熟虑，使备课趋于完美，使课堂异彩纷呈。与他们相比，我感到无颜以对。扪心自问，我在平时教学中深入文本、细心研究过教材吗？我像他们一样：深入教材，走进文本；跳出教材，走出文本；品味教材，回归文本；研究学生，设计教法吗？我让人性、感性、个性陪伴我们和孩子一起走进数学的神圣殿堂吗？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一节精彩的课，往往是教师一辈子的心血凝聚在其中。在每一个课堂上，可以窥见教师的付出。而且教师能否带给学生的精彩，能否与学生互动，这些无不取决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u w:val="none"/>
          <w:shd w:val="clear" w:color="auto" w:fill="auto"/>
        </w:rPr>
        <w:t>于教师课前的预设与课中生成的智慧。这种能力的形成来自扎扎实实的行动与平时的日积月累。作为一名教师，除了平日里扎扎实实地工作、认认真真地备课之外，更重要的，是要多看书，多增加自己的文化素养，增厚自己的文化底蕴。现在是信息社会，知识更新速度很快，学生的知识在有些方面甚至广于教师。教师如果只是满足于自己的一桶水，怎能适应今天的教育教学？苏霍姆林斯基说：“无限相信书籍的力量，是我的教育信仰真谛之一。”是的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u w:val="none"/>
          <w:shd w:val="clear" w:color="auto" w:fill="auto"/>
        </w:rPr>
        <w:t>，相信书籍的力量，“书籍是精神的食粮”，“书籍是人类进步的阶梯。”书籍更是我们作为人类工程师“进步的阶梯”。多读书吧，读书使人心明眼亮。”（伏尔泰），是的，读了书，多读书，我们教育工作者的心会更纯净，眼睛会更充满智慧的光芒！</w:t>
      </w:r>
    </w:p>
    <w:p>
      <w:pPr>
        <w:rPr>
          <w:rFonts w:hint="eastAsia" w:ascii="宋体" w:hAnsi="宋体" w:eastAsia="宋体" w:cs="宋体"/>
          <w:sz w:val="24"/>
          <w:szCs w:val="24"/>
          <w:shd w:val="clear" w:color="FFFFFF" w:fill="D9D9D9"/>
        </w:rPr>
      </w:pPr>
    </w:p>
    <w:bookmarkEnd w:id="0"/>
    <w:sectPr>
      <w:pgSz w:w="11850" w:h="16783"/>
      <w:pgMar w:top="1134" w:right="1134" w:bottom="1134" w:left="170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50D33"/>
    <w:rsid w:val="3E8242BC"/>
    <w:rsid w:val="420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2020-06-08T06:16:00Z</dcterms:created>
  <dc:creator>禅心</dc:creator>
  <cp:lastModifiedBy>禅心</cp:lastModifiedBy>
  <dcterms:modified xsi:type="dcterms:W3CDTF">2020-06-10T01:43:12Z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