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多元表征</w:t>
      </w:r>
      <w:r>
        <w:rPr>
          <w:rFonts w:hint="eastAsia" w:ascii="黑体" w:hAnsi="黑体" w:eastAsia="黑体" w:cs="宋体"/>
          <w:sz w:val="32"/>
          <w:szCs w:val="32"/>
        </w:rPr>
        <w:t>，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让算理“可见”</w:t>
      </w:r>
    </w:p>
    <w:p>
      <w:pPr>
        <w:spacing w:line="360" w:lineRule="auto"/>
        <w:jc w:val="center"/>
        <w:rPr>
          <w:rFonts w:hint="default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——以苏教版小学数学第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册“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解决问题的策略</w:t>
      </w:r>
      <w:r>
        <w:rPr>
          <w:rFonts w:hint="eastAsia" w:ascii="宋体" w:hAnsi="宋体" w:eastAsia="宋体"/>
          <w:sz w:val="28"/>
          <w:szCs w:val="28"/>
        </w:rPr>
        <w:t>”新授为例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常州市新北区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飞龙实验</w:t>
      </w:r>
      <w:r>
        <w:rPr>
          <w:rFonts w:hint="eastAsia" w:ascii="楷体" w:hAnsi="楷体" w:eastAsia="楷体" w:cs="宋体"/>
          <w:sz w:val="24"/>
          <w:szCs w:val="24"/>
        </w:rPr>
        <w:t>小学　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王怡雯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运算能力是重要的数学核心素养之一。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布鲁纳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认为学生对算理的理解需要借助图像表征、操作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表征、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语言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表征和符号表征。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vertAlign w:val="superscript"/>
          <w:lang w:val="en-US" w:eastAsia="zh-CN"/>
        </w:rPr>
        <w:t>［1］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这四种标志着方式不是单一递进的，更不是互相脱节的，它们之间有机联结又相互转译。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基于数学多元表征理论，学生在学习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计算知识时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，可以运用多种不同的表征方式来记录和表达自己头脑中对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算理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的理解与思考，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从而让数学核心素养落地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下面以苏教版小学数学第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册“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两位数乘一位数（不进位）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彰显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在小学数学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巧用数学多元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征，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沟通算理，提炼算法，发现规律，引领学生完成对乘法竖式的意义架构。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41910</wp:posOffset>
            </wp:positionV>
            <wp:extent cx="4389120" cy="2017395"/>
            <wp:effectExtent l="0" t="0" r="5080" b="1905"/>
            <wp:wrapThrough wrapText="bothSides">
              <wp:wrapPolygon>
                <wp:start x="0" y="0"/>
                <wp:lineTo x="0" y="21484"/>
                <wp:lineTo x="21563" y="21484"/>
                <wp:lineTo x="21563" y="0"/>
                <wp:lineTo x="0" y="0"/>
              </wp:wrapPolygon>
            </wp:wrapThrough>
            <wp:docPr id="2" name="图片 2" descr="VU0}IVE$545C)OMR5ZLXD~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U0}IVE$545C)OMR5ZLXD~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</w:rPr>
        <w:t>活动1：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先用小棒摆一摆探索12×3是多少。再看着小棒图，学生尝试用文字或算式记录12×3的计算过程。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全班交流：①12×3=12+12+12。</w:t>
      </w:r>
    </w:p>
    <w:p>
      <w:pPr>
        <w:spacing w:line="360" w:lineRule="auto"/>
        <w:ind w:firstLine="56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 xml:space="preserve">          ②3个10是30,3个2是6，合起来是36。</w:t>
      </w:r>
    </w:p>
    <w:p>
      <w:pPr>
        <w:spacing w:line="360" w:lineRule="auto"/>
        <w:ind w:firstLine="1960" w:firstLineChars="70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③3×10=30,3×2=6,30+6=36。</w:t>
      </w:r>
    </w:p>
    <w:p>
      <w:pPr>
        <w:spacing w:line="360" w:lineRule="auto"/>
        <w:ind w:firstLine="560" w:firstLineChars="200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比较几种方法的相同点。</w:t>
      </w:r>
    </w:p>
    <w:p>
      <w:pPr>
        <w:spacing w:line="360" w:lineRule="auto"/>
        <w:ind w:firstLine="56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</w:rPr>
        <w:t>活动2：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学生尝试笔算，教师示范最简竖式。</w:t>
      </w:r>
    </w:p>
    <w:p>
      <w:pPr>
        <w:spacing w:line="360" w:lineRule="auto"/>
        <w:ind w:firstLine="560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追问：6为什么要写在个位上？3为什么要写在十位上？</w:t>
      </w:r>
    </w:p>
    <w:p>
      <w:pPr>
        <w:spacing w:line="360" w:lineRule="auto"/>
        <w:ind w:firstLine="56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小结：计算两位数乘一位数时，一般先用一位数去乘两位数个位上的数，乘得的数写在个位上；再用一位数去乘两位数十位上的数，乘得的数写在十位上。</w:t>
      </w:r>
    </w:p>
    <w:p>
      <w:pPr>
        <w:spacing w:line="360" w:lineRule="auto"/>
        <w:ind w:firstLine="560"/>
        <w:rPr>
          <w:rFonts w:hint="eastAsia" w:ascii="楷体" w:hAnsi="楷体" w:eastAsia="楷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第一次活动先通过操作表征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摆小棒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充分体验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1捆小棒是一个十，2根小棒是2个一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。接着在图像表征阶段中，借助形象直观的小棒图，学生独立尝试用文字或算式记录计算过程。通过全班交流，学生在操作表征的基础上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顺其自然地用语言表征出3个10是30,3个2是6，合起来是36。有操作表征和语言表征良好的铺垫，学生便会利用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符号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表征出3×10=30,3×2=6,30+6=36。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第二次活动教师引导学生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用数字把小棒图自然地换成了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乘法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竖式的形式，这样学生既对算理有了清晰的理解，又为算法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埋下了伏笔。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教师通过关键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问题“这三种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方法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什么相同之处吗”进行点拨，推动学生主动地将这些不同的表征方法进行联系、沟通，提取出不同算理表征方法下相同的思维过程。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由此可见，在计算教学中合理运用多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表征形式的相互转换，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有利于学生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理解算理进而沟通算法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，它让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孩子的思维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有梯度，在形象直观和抽象之间架起一座过渡的桥梁。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[1]巩子坤．程序性知识教与学研究[M].南宁: 广西教育出版社，2010(10)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4901"/>
    <w:rsid w:val="002B7EE0"/>
    <w:rsid w:val="033D39D3"/>
    <w:rsid w:val="06220BE1"/>
    <w:rsid w:val="072C4057"/>
    <w:rsid w:val="09485652"/>
    <w:rsid w:val="0DF34901"/>
    <w:rsid w:val="0EAC115A"/>
    <w:rsid w:val="0F6273CA"/>
    <w:rsid w:val="123322DF"/>
    <w:rsid w:val="17D96A82"/>
    <w:rsid w:val="191841DA"/>
    <w:rsid w:val="1FB1207A"/>
    <w:rsid w:val="256229A0"/>
    <w:rsid w:val="287C6281"/>
    <w:rsid w:val="29D27DCD"/>
    <w:rsid w:val="2A221139"/>
    <w:rsid w:val="2C5C3848"/>
    <w:rsid w:val="2D300D06"/>
    <w:rsid w:val="302B742B"/>
    <w:rsid w:val="32210F45"/>
    <w:rsid w:val="333259B3"/>
    <w:rsid w:val="33BC6E17"/>
    <w:rsid w:val="39540EB6"/>
    <w:rsid w:val="3A810605"/>
    <w:rsid w:val="3E433B1C"/>
    <w:rsid w:val="3EF9526D"/>
    <w:rsid w:val="42874406"/>
    <w:rsid w:val="4761289E"/>
    <w:rsid w:val="48F7576E"/>
    <w:rsid w:val="4CB609C6"/>
    <w:rsid w:val="53D97CD7"/>
    <w:rsid w:val="54C031F8"/>
    <w:rsid w:val="596019C9"/>
    <w:rsid w:val="5EB75194"/>
    <w:rsid w:val="5F8F0DAA"/>
    <w:rsid w:val="602D5FCB"/>
    <w:rsid w:val="62DC6E13"/>
    <w:rsid w:val="646F452B"/>
    <w:rsid w:val="674918A7"/>
    <w:rsid w:val="6BAD6D22"/>
    <w:rsid w:val="70A71CDA"/>
    <w:rsid w:val="72C133D3"/>
    <w:rsid w:val="757843A1"/>
    <w:rsid w:val="76FF53C5"/>
    <w:rsid w:val="7993342A"/>
    <w:rsid w:val="7B4D16FF"/>
    <w:rsid w:val="7E08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2020-02-29T13:00:00Z</dcterms:created>
  <dc:creator>EVEN</dc:creator>
  <cp:lastModifiedBy>E.V.E.N. </cp:lastModifiedBy>
  <dcterms:modified xsi:type="dcterms:W3CDTF">2020-06-11T11:34:28Z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