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rPr>
      </w:pPr>
      <w:r>
        <w:rPr>
          <w:rFonts w:hint="eastAsia" w:ascii="黑体" w:hAnsi="黑体" w:eastAsia="黑体" w:cs="黑体"/>
          <w:b/>
          <w:bCs/>
          <w:sz w:val="32"/>
          <w:szCs w:val="32"/>
        </w:rPr>
        <w:t xml:space="preserve">  2020年春学期开学告家长书</w:t>
      </w:r>
    </w:p>
    <w:p>
      <w:pPr>
        <w:rPr>
          <w:rFonts w:hint="eastAsia" w:ascii="宋体" w:hAnsi="宋体" w:eastAsia="宋体" w:cs="宋体"/>
          <w:b/>
          <w:bCs/>
          <w:sz w:val="24"/>
        </w:rPr>
      </w:pPr>
      <w:r>
        <w:rPr>
          <w:rFonts w:hint="eastAsia" w:ascii="宋体" w:hAnsi="宋体" w:eastAsia="宋体" w:cs="宋体"/>
          <w:b/>
          <w:bCs/>
          <w:sz w:val="24"/>
        </w:rPr>
        <w:t>尊敬的家长朋友们：</w:t>
      </w:r>
    </w:p>
    <w:p>
      <w:pPr>
        <w:keepNext w:val="0"/>
        <w:keepLines w:val="0"/>
        <w:pageBreakBefore w:val="0"/>
        <w:widowControl w:val="0"/>
        <w:kinsoku/>
        <w:wordWrap/>
        <w:overflowPunct/>
        <w:topLinePunct w:val="0"/>
        <w:autoSpaceDE/>
        <w:autoSpaceDN/>
        <w:bidi w:val="0"/>
        <w:spacing w:line="500" w:lineRule="exact"/>
        <w:ind w:left="0" w:leftChars="0" w:right="0" w:rightChars="0" w:firstLine="47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为保障孩子们的生命和健康安全，积极妥善安排好生活和学习，共同落实疫情防控要求，安全、平稳、有序迎接开学，现将有关事宜告知如下，并希望得到家长朋友们的密切配合和大力支持。</w:t>
      </w:r>
    </w:p>
    <w:p>
      <w:pPr>
        <w:keepNext w:val="0"/>
        <w:keepLines w:val="0"/>
        <w:pageBreakBefore w:val="0"/>
        <w:widowControl w:val="0"/>
        <w:numPr>
          <w:ilvl w:val="0"/>
          <w:numId w:val="1"/>
        </w:numPr>
        <w:kinsoku/>
        <w:wordWrap/>
        <w:overflowPunct/>
        <w:topLinePunct w:val="0"/>
        <w:autoSpaceDE/>
        <w:autoSpaceDN/>
        <w:bidi w:val="0"/>
        <w:spacing w:line="500" w:lineRule="exact"/>
        <w:ind w:left="0" w:leftChars="0" w:right="0" w:rightChars="0"/>
        <w:textAlignment w:val="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开学时间</w:t>
      </w:r>
      <w:r>
        <w:rPr>
          <w:rFonts w:hint="eastAsia" w:asciiTheme="majorEastAsia" w:hAnsiTheme="majorEastAsia" w:eastAsiaTheme="majorEastAsia" w:cstheme="majorEastAsia"/>
          <w:b/>
          <w:bCs/>
          <w:sz w:val="24"/>
          <w:szCs w:val="24"/>
          <w:lang w:eastAsia="zh-CN"/>
        </w:rPr>
        <w:t>安排</w:t>
      </w:r>
    </w:p>
    <w:p>
      <w:pPr>
        <w:keepNext w:val="0"/>
        <w:keepLines w:val="0"/>
        <w:pageBreakBefore w:val="0"/>
        <w:widowControl w:val="0"/>
        <w:numPr>
          <w:ilvl w:val="0"/>
          <w:numId w:val="0"/>
        </w:numPr>
        <w:kinsoku/>
        <w:wordWrap/>
        <w:overflowPunct/>
        <w:topLinePunct w:val="0"/>
        <w:autoSpaceDE/>
        <w:autoSpaceDN/>
        <w:bidi w:val="0"/>
        <w:spacing w:line="500" w:lineRule="exact"/>
        <w:ind w:left="0" w:leftChars="0" w:right="0" w:rightChars="0" w:firstLine="472"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4月</w:t>
      </w:r>
      <w:r>
        <w:rPr>
          <w:rFonts w:hint="eastAsia" w:asciiTheme="majorEastAsia" w:hAnsiTheme="majorEastAsia" w:eastAsiaTheme="majorEastAsia" w:cstheme="majorEastAsia"/>
          <w:sz w:val="24"/>
          <w:szCs w:val="24"/>
          <w:lang w:val="en-US" w:eastAsia="zh-CN"/>
        </w:rPr>
        <w:t>15</w:t>
      </w:r>
      <w:r>
        <w:rPr>
          <w:rFonts w:hint="eastAsia" w:asciiTheme="majorEastAsia" w:hAnsiTheme="majorEastAsia" w:eastAsiaTheme="majorEastAsia" w:cstheme="majorEastAsia"/>
          <w:sz w:val="24"/>
          <w:szCs w:val="24"/>
        </w:rPr>
        <w:t>日，</w:t>
      </w:r>
      <w:r>
        <w:rPr>
          <w:rFonts w:hint="eastAsia" w:asciiTheme="majorEastAsia" w:hAnsiTheme="majorEastAsia" w:eastAsiaTheme="majorEastAsia" w:cstheme="majorEastAsia"/>
          <w:sz w:val="24"/>
          <w:szCs w:val="24"/>
          <w:lang w:val="en-US" w:eastAsia="zh-CN"/>
        </w:rPr>
        <w:t>小学四、五年级开学。</w:t>
      </w:r>
    </w:p>
    <w:p>
      <w:pPr>
        <w:keepNext w:val="0"/>
        <w:keepLines w:val="0"/>
        <w:pageBreakBefore w:val="0"/>
        <w:widowControl w:val="0"/>
        <w:numPr>
          <w:ilvl w:val="0"/>
          <w:numId w:val="1"/>
        </w:numPr>
        <w:kinsoku/>
        <w:wordWrap/>
        <w:overflowPunct/>
        <w:topLinePunct w:val="0"/>
        <w:autoSpaceDE/>
        <w:autoSpaceDN/>
        <w:bidi w:val="0"/>
        <w:spacing w:line="500" w:lineRule="exact"/>
        <w:ind w:left="0" w:leftChars="0" w:right="0" w:rightChars="0"/>
        <w:textAlignment w:val="auto"/>
        <w:rPr>
          <w:rFonts w:hint="eastAsia" w:asciiTheme="majorEastAsia" w:hAnsiTheme="majorEastAsia" w:eastAsiaTheme="majorEastAsia" w:cstheme="majorEastAsia"/>
          <w:b/>
          <w:bCs/>
          <w:sz w:val="24"/>
          <w:szCs w:val="24"/>
          <w:u w:val="none"/>
          <w:lang w:val="en-US" w:eastAsia="zh-CN"/>
        </w:rPr>
      </w:pPr>
      <w:r>
        <w:rPr>
          <w:rFonts w:hint="eastAsia" w:asciiTheme="majorEastAsia" w:hAnsiTheme="majorEastAsia" w:eastAsiaTheme="majorEastAsia" w:cstheme="majorEastAsia"/>
          <w:b/>
          <w:bCs/>
          <w:sz w:val="24"/>
          <w:szCs w:val="24"/>
          <w:u w:val="none"/>
          <w:lang w:val="en-US" w:eastAsia="zh-CN"/>
        </w:rPr>
        <w:t>上学、放学时间安排</w:t>
      </w:r>
    </w:p>
    <w:tbl>
      <w:tblPr>
        <w:tblStyle w:val="8"/>
        <w:tblpPr w:leftFromText="180" w:rightFromText="180" w:vertAnchor="text" w:horzAnchor="page" w:tblpX="1577" w:tblpY="208"/>
        <w:tblOverlap w:val="never"/>
        <w:tblW w:w="90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5"/>
        <w:gridCol w:w="2490"/>
        <w:gridCol w:w="2565"/>
        <w:gridCol w:w="2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trPr>
        <w:tc>
          <w:tcPr>
            <w:tcW w:w="1395" w:type="dxa"/>
            <w:vAlign w:val="top"/>
          </w:tcPr>
          <w:p>
            <w:pPr>
              <w:spacing w:line="360" w:lineRule="auto"/>
              <w:jc w:val="center"/>
              <w:rPr>
                <w:rFonts w:ascii="宋体" w:hAnsi="宋体"/>
                <w:b/>
                <w:szCs w:val="21"/>
              </w:rPr>
            </w:pPr>
            <w:r>
              <w:rPr>
                <w:rFonts w:hint="eastAsia" w:ascii="宋体" w:hAnsi="宋体"/>
                <w:b/>
                <w:szCs w:val="21"/>
              </w:rPr>
              <w:t>时间</w:t>
            </w:r>
          </w:p>
        </w:tc>
        <w:tc>
          <w:tcPr>
            <w:tcW w:w="2490" w:type="dxa"/>
            <w:vAlign w:val="top"/>
          </w:tcPr>
          <w:p>
            <w:pPr>
              <w:spacing w:line="360" w:lineRule="auto"/>
              <w:jc w:val="center"/>
              <w:rPr>
                <w:rFonts w:ascii="宋体" w:hAnsi="宋体"/>
                <w:szCs w:val="21"/>
              </w:rPr>
            </w:pPr>
            <w:r>
              <w:rPr>
                <w:rFonts w:hint="eastAsia" w:ascii="宋体" w:hAnsi="宋体"/>
                <w:szCs w:val="21"/>
              </w:rPr>
              <w:t>7:</w:t>
            </w:r>
            <w:r>
              <w:rPr>
                <w:rFonts w:hint="eastAsia" w:ascii="宋体" w:hAnsi="宋体"/>
                <w:szCs w:val="21"/>
                <w:lang w:val="en-US" w:eastAsia="zh-CN"/>
              </w:rPr>
              <w:t>25</w:t>
            </w:r>
            <w:r>
              <w:rPr>
                <w:rFonts w:hint="eastAsia"/>
              </w:rPr>
              <w:t>～</w:t>
            </w:r>
            <w:r>
              <w:rPr>
                <w:rFonts w:hint="eastAsia" w:ascii="宋体" w:hAnsi="宋体"/>
                <w:szCs w:val="21"/>
              </w:rPr>
              <w:t>7:</w:t>
            </w:r>
            <w:r>
              <w:rPr>
                <w:rFonts w:hint="eastAsia" w:ascii="宋体" w:hAnsi="宋体"/>
                <w:szCs w:val="21"/>
                <w:lang w:val="en-US" w:eastAsia="zh-CN"/>
              </w:rPr>
              <w:t>30</w:t>
            </w:r>
          </w:p>
        </w:tc>
        <w:tc>
          <w:tcPr>
            <w:tcW w:w="2565" w:type="dxa"/>
            <w:vAlign w:val="top"/>
          </w:tcPr>
          <w:p>
            <w:pPr>
              <w:spacing w:line="360" w:lineRule="auto"/>
              <w:jc w:val="center"/>
              <w:rPr>
                <w:rFonts w:ascii="宋体" w:hAnsi="宋体"/>
                <w:szCs w:val="21"/>
                <w:lang w:val="en-US"/>
              </w:rPr>
            </w:pPr>
            <w:r>
              <w:rPr>
                <w:rFonts w:hint="eastAsia" w:ascii="宋体" w:hAnsi="宋体"/>
                <w:szCs w:val="21"/>
              </w:rPr>
              <w:t>7:</w:t>
            </w:r>
            <w:r>
              <w:rPr>
                <w:rFonts w:hint="eastAsia" w:ascii="宋体" w:hAnsi="宋体"/>
                <w:szCs w:val="21"/>
                <w:lang w:val="en-US" w:eastAsia="zh-CN"/>
              </w:rPr>
              <w:t>30</w:t>
            </w:r>
            <w:r>
              <w:rPr>
                <w:rFonts w:hint="eastAsia"/>
              </w:rPr>
              <w:t>～</w:t>
            </w:r>
            <w:r>
              <w:rPr>
                <w:rFonts w:hint="eastAsia" w:ascii="宋体" w:hAnsi="宋体"/>
                <w:szCs w:val="21"/>
              </w:rPr>
              <w:t>7:</w:t>
            </w:r>
            <w:r>
              <w:rPr>
                <w:rFonts w:hint="eastAsia" w:ascii="宋体" w:hAnsi="宋体"/>
                <w:szCs w:val="21"/>
                <w:lang w:val="en-US" w:eastAsia="zh-CN"/>
              </w:rPr>
              <w:t>35</w:t>
            </w:r>
          </w:p>
        </w:tc>
        <w:tc>
          <w:tcPr>
            <w:tcW w:w="2595" w:type="dxa"/>
            <w:vAlign w:val="top"/>
          </w:tcPr>
          <w:p>
            <w:pPr>
              <w:spacing w:line="360" w:lineRule="auto"/>
              <w:jc w:val="center"/>
              <w:rPr>
                <w:rFonts w:hint="eastAsia" w:ascii="宋体" w:hAnsi="宋体" w:eastAsiaTheme="minorEastAsia"/>
                <w:szCs w:val="21"/>
                <w:lang w:val="en-US" w:eastAsia="zh-CN"/>
              </w:rPr>
            </w:pPr>
            <w:r>
              <w:rPr>
                <w:rFonts w:hint="eastAsia" w:ascii="宋体" w:hAnsi="宋体"/>
                <w:szCs w:val="21"/>
              </w:rPr>
              <w:t>7:</w:t>
            </w:r>
            <w:r>
              <w:rPr>
                <w:rFonts w:hint="eastAsia" w:ascii="宋体" w:hAnsi="宋体"/>
                <w:szCs w:val="21"/>
                <w:lang w:val="en-US" w:eastAsia="zh-CN"/>
              </w:rPr>
              <w:t>35</w:t>
            </w:r>
            <w:r>
              <w:rPr>
                <w:rFonts w:hint="eastAsia"/>
              </w:rPr>
              <w:t>～</w:t>
            </w:r>
            <w:r>
              <w:rPr>
                <w:rFonts w:hint="eastAsia" w:ascii="宋体" w:hAnsi="宋体"/>
                <w:szCs w:val="21"/>
              </w:rPr>
              <w:t>7:</w:t>
            </w:r>
            <w:r>
              <w:rPr>
                <w:rFonts w:hint="eastAsia" w:ascii="宋体" w:hAnsi="宋体"/>
                <w:szCs w:val="21"/>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3" w:hRule="atLeast"/>
        </w:trPr>
        <w:tc>
          <w:tcPr>
            <w:tcW w:w="1395" w:type="dxa"/>
            <w:vAlign w:val="top"/>
          </w:tcPr>
          <w:p>
            <w:pPr>
              <w:spacing w:line="360" w:lineRule="auto"/>
              <w:jc w:val="center"/>
              <w:rPr>
                <w:rFonts w:hint="eastAsia" w:ascii="宋体" w:hAnsi="宋体" w:eastAsiaTheme="minorEastAsia"/>
                <w:b/>
                <w:szCs w:val="21"/>
                <w:lang w:eastAsia="zh-CN"/>
              </w:rPr>
            </w:pPr>
            <w:r>
              <w:rPr>
                <w:rFonts w:hint="eastAsia" w:ascii="宋体" w:hAnsi="宋体"/>
                <w:b/>
                <w:szCs w:val="21"/>
                <w:lang w:eastAsia="zh-CN"/>
              </w:rPr>
              <w:t>东门</w:t>
            </w:r>
          </w:p>
        </w:tc>
        <w:tc>
          <w:tcPr>
            <w:tcW w:w="2490" w:type="dxa"/>
            <w:vAlign w:val="top"/>
          </w:tcPr>
          <w:p>
            <w:pPr>
              <w:spacing w:line="360" w:lineRule="auto"/>
              <w:ind w:firstLine="412" w:firstLineChars="200"/>
              <w:jc w:val="both"/>
              <w:rPr>
                <w:rFonts w:ascii="宋体" w:hAnsi="宋体"/>
                <w:szCs w:val="21"/>
              </w:rPr>
            </w:pPr>
            <w:r>
              <w:rPr>
                <w:rFonts w:hint="eastAsia" w:ascii="宋体" w:hAnsi="宋体"/>
                <w:szCs w:val="21"/>
                <w:lang w:val="en-US" w:eastAsia="zh-CN"/>
              </w:rPr>
              <w:t>五</w:t>
            </w: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p>
        </w:tc>
        <w:tc>
          <w:tcPr>
            <w:tcW w:w="2565" w:type="dxa"/>
            <w:vAlign w:val="top"/>
          </w:tcPr>
          <w:p>
            <w:pPr>
              <w:spacing w:line="360" w:lineRule="auto"/>
              <w:jc w:val="center"/>
              <w:rPr>
                <w:rFonts w:ascii="宋体" w:hAnsi="宋体"/>
                <w:szCs w:val="21"/>
              </w:rPr>
            </w:pPr>
            <w:r>
              <w:rPr>
                <w:rFonts w:hint="eastAsia" w:ascii="宋体" w:hAnsi="宋体"/>
                <w:szCs w:val="21"/>
                <w:lang w:val="en-US" w:eastAsia="zh-CN"/>
              </w:rPr>
              <w:t>五</w:t>
            </w: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lang w:val="en-US" w:eastAsia="zh-CN"/>
              </w:rPr>
              <w:t>5</w:t>
            </w:r>
            <w:r>
              <w:rPr>
                <w:rFonts w:hint="eastAsia" w:ascii="宋体" w:hAnsi="宋体"/>
                <w:szCs w:val="21"/>
                <w:lang w:eastAsia="zh-CN"/>
              </w:rPr>
              <w:t>）</w:t>
            </w:r>
          </w:p>
        </w:tc>
        <w:tc>
          <w:tcPr>
            <w:tcW w:w="2595" w:type="dxa"/>
            <w:vAlign w:val="top"/>
          </w:tcPr>
          <w:p>
            <w:pPr>
              <w:spacing w:line="360" w:lineRule="auto"/>
              <w:jc w:val="center"/>
              <w:rPr>
                <w:rFonts w:ascii="宋体" w:hAnsi="宋体"/>
                <w:szCs w:val="21"/>
              </w:rPr>
            </w:pPr>
            <w:r>
              <w:rPr>
                <w:rFonts w:hint="eastAsia" w:ascii="宋体" w:hAnsi="宋体"/>
                <w:szCs w:val="21"/>
                <w:lang w:val="en-US" w:eastAsia="zh-CN"/>
              </w:rPr>
              <w:t>五</w:t>
            </w:r>
            <w:r>
              <w:rPr>
                <w:rFonts w:hint="eastAsia" w:ascii="宋体" w:hAnsi="宋体"/>
                <w:szCs w:val="21"/>
                <w:lang w:eastAsia="zh-CN"/>
              </w:rPr>
              <w:t>（</w:t>
            </w:r>
            <w:r>
              <w:rPr>
                <w:rFonts w:hint="eastAsia" w:ascii="宋体" w:hAnsi="宋体"/>
                <w:szCs w:val="21"/>
                <w:lang w:val="en-US" w:eastAsia="zh-CN"/>
              </w:rPr>
              <w:t>6</w:t>
            </w:r>
            <w:r>
              <w:rPr>
                <w:rFonts w:hint="eastAsia" w:ascii="宋体" w:hAnsi="宋体"/>
                <w:szCs w:val="21"/>
                <w:lang w:eastAsia="zh-CN"/>
              </w:rPr>
              <w:t>）（</w:t>
            </w:r>
            <w:r>
              <w:rPr>
                <w:rFonts w:hint="eastAsia" w:ascii="宋体" w:hAnsi="宋体"/>
                <w:szCs w:val="21"/>
                <w:lang w:val="en-US" w:eastAsia="zh-CN"/>
              </w:rPr>
              <w:t>7</w:t>
            </w:r>
            <w:r>
              <w:rPr>
                <w:rFonts w:hint="eastAsia" w:ascii="宋体" w:hAnsi="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1" w:hRule="atLeast"/>
        </w:trPr>
        <w:tc>
          <w:tcPr>
            <w:tcW w:w="1395" w:type="dxa"/>
            <w:vAlign w:val="top"/>
          </w:tcPr>
          <w:p>
            <w:pPr>
              <w:spacing w:line="360" w:lineRule="auto"/>
              <w:jc w:val="center"/>
              <w:rPr>
                <w:rFonts w:ascii="宋体" w:hAnsi="宋体"/>
                <w:b/>
                <w:szCs w:val="21"/>
              </w:rPr>
            </w:pPr>
            <w:r>
              <w:rPr>
                <w:rFonts w:hint="eastAsia" w:ascii="宋体" w:hAnsi="宋体"/>
                <w:b/>
                <w:szCs w:val="21"/>
              </w:rPr>
              <w:t>时间</w:t>
            </w:r>
          </w:p>
        </w:tc>
        <w:tc>
          <w:tcPr>
            <w:tcW w:w="2490" w:type="dxa"/>
            <w:vAlign w:val="top"/>
          </w:tcPr>
          <w:p>
            <w:pPr>
              <w:spacing w:line="360" w:lineRule="auto"/>
              <w:jc w:val="center"/>
              <w:rPr>
                <w:rFonts w:ascii="宋体" w:hAnsi="宋体"/>
                <w:szCs w:val="21"/>
              </w:rPr>
            </w:pPr>
            <w:r>
              <w:rPr>
                <w:rFonts w:hint="eastAsia" w:ascii="宋体" w:hAnsi="宋体"/>
                <w:szCs w:val="21"/>
              </w:rPr>
              <w:t>7:</w:t>
            </w:r>
            <w:r>
              <w:rPr>
                <w:rFonts w:hint="eastAsia" w:ascii="宋体" w:hAnsi="宋体"/>
                <w:szCs w:val="21"/>
                <w:lang w:val="en-US" w:eastAsia="zh-CN"/>
              </w:rPr>
              <w:t>4</w:t>
            </w:r>
            <w:r>
              <w:rPr>
                <w:rFonts w:hint="eastAsia" w:ascii="宋体" w:hAnsi="宋体"/>
                <w:szCs w:val="21"/>
              </w:rPr>
              <w:t>0</w:t>
            </w:r>
            <w:r>
              <w:rPr>
                <w:rFonts w:hint="eastAsia"/>
              </w:rPr>
              <w:t>～</w:t>
            </w:r>
            <w:r>
              <w:rPr>
                <w:rFonts w:hint="eastAsia" w:ascii="宋体" w:hAnsi="宋体"/>
                <w:szCs w:val="21"/>
              </w:rPr>
              <w:t>7:</w:t>
            </w:r>
            <w:r>
              <w:rPr>
                <w:rFonts w:hint="eastAsia" w:ascii="宋体" w:hAnsi="宋体"/>
                <w:szCs w:val="21"/>
                <w:lang w:val="en-US" w:eastAsia="zh-CN"/>
              </w:rPr>
              <w:t>45</w:t>
            </w:r>
          </w:p>
        </w:tc>
        <w:tc>
          <w:tcPr>
            <w:tcW w:w="2565" w:type="dxa"/>
            <w:vAlign w:val="top"/>
          </w:tcPr>
          <w:p>
            <w:pPr>
              <w:spacing w:line="360" w:lineRule="auto"/>
              <w:jc w:val="center"/>
              <w:rPr>
                <w:rFonts w:ascii="宋体" w:hAnsi="宋体"/>
                <w:szCs w:val="21"/>
              </w:rPr>
            </w:pPr>
            <w:r>
              <w:rPr>
                <w:rFonts w:hint="eastAsia" w:ascii="宋体" w:hAnsi="宋体"/>
                <w:szCs w:val="21"/>
              </w:rPr>
              <w:t>7:</w:t>
            </w:r>
            <w:r>
              <w:rPr>
                <w:rFonts w:hint="eastAsia" w:ascii="宋体" w:hAnsi="宋体"/>
                <w:szCs w:val="21"/>
                <w:lang w:val="en-US" w:eastAsia="zh-CN"/>
              </w:rPr>
              <w:t>45</w:t>
            </w:r>
            <w:r>
              <w:rPr>
                <w:rFonts w:hint="eastAsia"/>
              </w:rPr>
              <w:t>～</w:t>
            </w:r>
            <w:r>
              <w:rPr>
                <w:rFonts w:hint="eastAsia" w:ascii="宋体" w:hAnsi="宋体"/>
                <w:szCs w:val="21"/>
              </w:rPr>
              <w:t>7:</w:t>
            </w:r>
            <w:r>
              <w:rPr>
                <w:rFonts w:hint="eastAsia" w:ascii="宋体" w:hAnsi="宋体"/>
                <w:szCs w:val="21"/>
                <w:lang w:val="en-US" w:eastAsia="zh-CN"/>
              </w:rPr>
              <w:t>5</w:t>
            </w:r>
            <w:r>
              <w:rPr>
                <w:rFonts w:hint="eastAsia" w:ascii="宋体" w:hAnsi="宋体"/>
                <w:szCs w:val="21"/>
              </w:rPr>
              <w:t>0</w:t>
            </w:r>
          </w:p>
        </w:tc>
        <w:tc>
          <w:tcPr>
            <w:tcW w:w="2595" w:type="dxa"/>
            <w:vAlign w:val="top"/>
          </w:tcPr>
          <w:p>
            <w:pPr>
              <w:spacing w:line="360" w:lineRule="auto"/>
              <w:jc w:val="center"/>
              <w:rPr>
                <w:rFonts w:ascii="宋体" w:hAnsi="宋体"/>
                <w:szCs w:val="21"/>
              </w:rPr>
            </w:pPr>
            <w:r>
              <w:rPr>
                <w:rFonts w:hint="eastAsia" w:ascii="宋体" w:hAnsi="宋体"/>
                <w:szCs w:val="21"/>
              </w:rPr>
              <w:t>7:</w:t>
            </w:r>
            <w:r>
              <w:rPr>
                <w:rFonts w:hint="eastAsia" w:ascii="宋体" w:hAnsi="宋体"/>
                <w:szCs w:val="21"/>
                <w:lang w:val="en-US" w:eastAsia="zh-CN"/>
              </w:rPr>
              <w:t>5</w:t>
            </w:r>
            <w:r>
              <w:rPr>
                <w:rFonts w:hint="eastAsia" w:ascii="宋体" w:hAnsi="宋体"/>
                <w:szCs w:val="21"/>
              </w:rPr>
              <w:t>0</w:t>
            </w:r>
            <w:r>
              <w:rPr>
                <w:rFonts w:hint="eastAsia"/>
              </w:rPr>
              <w:t>～</w:t>
            </w:r>
            <w:r>
              <w:rPr>
                <w:rFonts w:hint="eastAsia" w:ascii="宋体" w:hAnsi="宋体"/>
                <w:szCs w:val="21"/>
              </w:rPr>
              <w:t>7:5</w:t>
            </w:r>
            <w:r>
              <w:rPr>
                <w:rFonts w:hint="eastAsia" w:ascii="宋体" w:hAnsi="宋体"/>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95" w:type="dxa"/>
            <w:vAlign w:val="top"/>
          </w:tcPr>
          <w:p>
            <w:pPr>
              <w:spacing w:line="360" w:lineRule="auto"/>
              <w:jc w:val="center"/>
              <w:rPr>
                <w:rFonts w:hint="eastAsia" w:ascii="宋体" w:hAnsi="宋体" w:eastAsiaTheme="minorEastAsia"/>
                <w:b/>
                <w:szCs w:val="21"/>
                <w:lang w:eastAsia="zh-CN"/>
              </w:rPr>
            </w:pPr>
            <w:r>
              <w:rPr>
                <w:rFonts w:hint="eastAsia" w:ascii="宋体" w:hAnsi="宋体"/>
                <w:b/>
                <w:szCs w:val="21"/>
                <w:lang w:eastAsia="zh-CN"/>
              </w:rPr>
              <w:t>东门</w:t>
            </w:r>
          </w:p>
        </w:tc>
        <w:tc>
          <w:tcPr>
            <w:tcW w:w="2490" w:type="dxa"/>
            <w:vAlign w:val="top"/>
          </w:tcPr>
          <w:p>
            <w:pPr>
              <w:spacing w:line="360" w:lineRule="auto"/>
              <w:ind w:firstLine="412" w:firstLineChars="200"/>
              <w:jc w:val="both"/>
              <w:rPr>
                <w:rFonts w:ascii="宋体" w:hAnsi="宋体"/>
                <w:szCs w:val="21"/>
              </w:rPr>
            </w:pPr>
            <w:r>
              <w:rPr>
                <w:rFonts w:hint="eastAsia" w:ascii="宋体" w:hAnsi="宋体"/>
                <w:szCs w:val="21"/>
                <w:lang w:val="en-US" w:eastAsia="zh-CN"/>
              </w:rPr>
              <w:t>四</w:t>
            </w: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p>
        </w:tc>
        <w:tc>
          <w:tcPr>
            <w:tcW w:w="2565" w:type="dxa"/>
            <w:vAlign w:val="top"/>
          </w:tcPr>
          <w:p>
            <w:pPr>
              <w:spacing w:line="360" w:lineRule="auto"/>
              <w:jc w:val="center"/>
              <w:rPr>
                <w:rFonts w:ascii="宋体" w:hAnsi="宋体"/>
                <w:szCs w:val="21"/>
              </w:rPr>
            </w:pPr>
            <w:r>
              <w:rPr>
                <w:rFonts w:hint="eastAsia" w:ascii="宋体" w:hAnsi="宋体"/>
                <w:szCs w:val="21"/>
                <w:lang w:val="en-US" w:eastAsia="zh-CN"/>
              </w:rPr>
              <w:t>四</w:t>
            </w: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lang w:val="en-US" w:eastAsia="zh-CN"/>
              </w:rPr>
              <w:t>5</w:t>
            </w:r>
            <w:r>
              <w:rPr>
                <w:rFonts w:hint="eastAsia" w:ascii="宋体" w:hAnsi="宋体"/>
                <w:szCs w:val="21"/>
                <w:lang w:eastAsia="zh-CN"/>
              </w:rPr>
              <w:t>）</w:t>
            </w:r>
          </w:p>
        </w:tc>
        <w:tc>
          <w:tcPr>
            <w:tcW w:w="2595" w:type="dxa"/>
            <w:vAlign w:val="top"/>
          </w:tcPr>
          <w:p>
            <w:pPr>
              <w:spacing w:line="360" w:lineRule="auto"/>
              <w:jc w:val="center"/>
              <w:rPr>
                <w:rFonts w:ascii="宋体" w:hAnsi="宋体"/>
                <w:szCs w:val="21"/>
              </w:rPr>
            </w:pPr>
            <w:r>
              <w:rPr>
                <w:rFonts w:hint="eastAsia" w:ascii="宋体" w:hAnsi="宋体"/>
                <w:szCs w:val="21"/>
                <w:lang w:val="en-US" w:eastAsia="zh-CN"/>
              </w:rPr>
              <w:t>四</w:t>
            </w:r>
            <w:r>
              <w:rPr>
                <w:rFonts w:hint="eastAsia" w:ascii="宋体" w:hAnsi="宋体"/>
                <w:szCs w:val="21"/>
                <w:lang w:eastAsia="zh-CN"/>
              </w:rPr>
              <w:t>（</w:t>
            </w:r>
            <w:r>
              <w:rPr>
                <w:rFonts w:hint="eastAsia" w:ascii="宋体" w:hAnsi="宋体"/>
                <w:szCs w:val="21"/>
                <w:lang w:val="en-US" w:eastAsia="zh-CN"/>
              </w:rPr>
              <w:t>6</w:t>
            </w:r>
            <w:r>
              <w:rPr>
                <w:rFonts w:hint="eastAsia" w:ascii="宋体" w:hAnsi="宋体"/>
                <w:szCs w:val="21"/>
                <w:lang w:eastAsia="zh-CN"/>
              </w:rPr>
              <w:t>）（</w:t>
            </w:r>
            <w:r>
              <w:rPr>
                <w:rFonts w:hint="eastAsia" w:ascii="宋体" w:hAnsi="宋体"/>
                <w:szCs w:val="21"/>
                <w:lang w:val="en-US" w:eastAsia="zh-CN"/>
              </w:rPr>
              <w:t>7</w:t>
            </w:r>
            <w:r>
              <w:rPr>
                <w:rFonts w:hint="eastAsia" w:ascii="宋体" w:hAnsi="宋体"/>
                <w:szCs w:val="21"/>
                <w:lang w:eastAsia="zh-CN"/>
              </w:rPr>
              <w:t>）</w:t>
            </w:r>
          </w:p>
        </w:tc>
      </w:tr>
    </w:tbl>
    <w:p>
      <w:pPr>
        <w:keepNext w:val="0"/>
        <w:keepLines w:val="0"/>
        <w:pageBreakBefore w:val="0"/>
        <w:widowControl w:val="0"/>
        <w:numPr>
          <w:ilvl w:val="0"/>
          <w:numId w:val="0"/>
        </w:numPr>
        <w:kinsoku/>
        <w:wordWrap/>
        <w:overflowPunct/>
        <w:topLinePunct w:val="0"/>
        <w:autoSpaceDE/>
        <w:autoSpaceDN/>
        <w:bidi w:val="0"/>
        <w:spacing w:line="500" w:lineRule="exact"/>
        <w:ind w:right="0" w:rightChars="0" w:firstLine="472" w:firstLineChars="200"/>
        <w:textAlignment w:val="auto"/>
        <w:rPr>
          <w:rFonts w:hint="eastAsia" w:asciiTheme="majorEastAsia" w:hAnsiTheme="majorEastAsia" w:eastAsiaTheme="majorEastAsia" w:cstheme="majorEastAsia"/>
          <w:b/>
          <w:bCs/>
          <w:sz w:val="24"/>
          <w:szCs w:val="24"/>
          <w:u w:val="none"/>
          <w:lang w:val="en-US" w:eastAsia="zh-CN"/>
        </w:rPr>
      </w:pPr>
      <w:r>
        <w:rPr>
          <w:rFonts w:hint="eastAsia" w:asciiTheme="majorEastAsia" w:hAnsiTheme="majorEastAsia" w:eastAsiaTheme="majorEastAsia" w:cstheme="majorEastAsia"/>
          <w:b/>
          <w:bCs/>
          <w:sz w:val="24"/>
          <w:szCs w:val="24"/>
          <w:u w:val="none"/>
          <w:lang w:val="en-US" w:eastAsia="zh-CN"/>
        </w:rPr>
        <w:t>放晚学时间：四年级：15：45 （西门）  五年级：16：10（东门）</w:t>
      </w:r>
    </w:p>
    <w:p>
      <w:pPr>
        <w:keepNext w:val="0"/>
        <w:keepLines w:val="0"/>
        <w:pageBreakBefore w:val="0"/>
        <w:widowControl w:val="0"/>
        <w:numPr>
          <w:ilvl w:val="0"/>
          <w:numId w:val="2"/>
        </w:numPr>
        <w:kinsoku/>
        <w:wordWrap/>
        <w:overflowPunct/>
        <w:topLinePunct w:val="0"/>
        <w:autoSpaceDE/>
        <w:autoSpaceDN/>
        <w:bidi w:val="0"/>
        <w:spacing w:line="500" w:lineRule="exact"/>
        <w:ind w:left="0" w:leftChars="0" w:right="0" w:right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kern w:val="0"/>
          <w:sz w:val="24"/>
          <w:szCs w:val="24"/>
          <w:lang w:val="en-US" w:eastAsia="zh-CN" w:bidi="ar"/>
        </w:rPr>
        <w:t>开学物品要求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72" w:firstLineChars="200"/>
        <w:jc w:val="both"/>
        <w:textAlignment w:val="auto"/>
        <w:outlineLvl w:val="9"/>
        <w:rPr>
          <w:rFonts w:hint="eastAsia" w:ascii="宋体" w:hAnsi="宋体" w:eastAsia="宋体" w:cs="宋体"/>
          <w:b w:val="0"/>
          <w:bCs w:val="0"/>
          <w:sz w:val="24"/>
          <w:szCs w:val="24"/>
          <w:u w:val="none"/>
          <w:lang w:val="en-US" w:eastAsia="zh-CN"/>
        </w:rPr>
      </w:pPr>
      <w:r>
        <w:rPr>
          <w:rFonts w:hint="eastAsia" w:ascii="宋体" w:hAnsi="宋体" w:eastAsia="宋体" w:cs="宋体"/>
          <w:b/>
          <w:bCs/>
          <w:sz w:val="24"/>
          <w:szCs w:val="24"/>
          <w:lang w:val="en-US" w:eastAsia="zh-CN"/>
        </w:rPr>
        <w:t>1.</w:t>
      </w:r>
      <w:r>
        <w:rPr>
          <w:rFonts w:ascii="宋体" w:hAnsi="宋体" w:eastAsia="宋体" w:cs="宋体"/>
          <w:b/>
          <w:bCs/>
          <w:kern w:val="0"/>
          <w:sz w:val="24"/>
          <w:szCs w:val="24"/>
          <w:u w:val="none"/>
          <w:lang w:val="en-US" w:eastAsia="zh-CN" w:bidi="ar"/>
        </w:rPr>
        <w:t>要协助孩子备齐开学所需各类学习用具和生活用品。</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开学前物资准备：①75%的酒精消毒湿巾；②免洗洗手液；③纸巾；④每天一个塑料袋（为避免交叉感染，在校用的纸巾、湿巾装在塑料袋，带回家处理）；⑤一块抹布、一块毛巾、一把勺子（学生在班级用餐）；⑥</w:t>
      </w:r>
      <w:r>
        <w:rPr>
          <w:rFonts w:hint="eastAsia" w:ascii="宋体" w:hAnsi="宋体" w:eastAsia="宋体" w:cs="宋体"/>
          <w:b w:val="0"/>
          <w:bCs w:val="0"/>
          <w:color w:val="000000" w:themeColor="text1"/>
          <w:sz w:val="24"/>
          <w:szCs w:val="24"/>
          <w:u w:val="none"/>
          <w14:textFill>
            <w14:solidFill>
              <w14:schemeClr w14:val="tx1"/>
            </w14:solidFill>
          </w14:textFill>
        </w:rPr>
        <w:t>提前为孩子准备充足、合格的口罩</w:t>
      </w:r>
      <w:r>
        <w:rPr>
          <w:rFonts w:hint="eastAsia" w:ascii="宋体" w:hAnsi="宋体" w:eastAsia="宋体" w:cs="宋体"/>
          <w:b w:val="0"/>
          <w:bCs w:val="0"/>
          <w:color w:val="000000" w:themeColor="text1"/>
          <w:sz w:val="24"/>
          <w:szCs w:val="24"/>
          <w:u w:val="none"/>
          <w:lang w:eastAsia="zh-CN"/>
          <w14:textFill>
            <w14:solidFill>
              <w14:schemeClr w14:val="tx1"/>
            </w14:solidFill>
          </w14:textFill>
        </w:rPr>
        <w:t>，</w:t>
      </w:r>
      <w:r>
        <w:rPr>
          <w:rFonts w:hint="eastAsia" w:ascii="宋体" w:hAnsi="宋体" w:eastAsia="宋体" w:cs="宋体"/>
          <w:b w:val="0"/>
          <w:bCs w:val="0"/>
          <w:sz w:val="24"/>
          <w:szCs w:val="24"/>
          <w:u w:val="none"/>
        </w:rPr>
        <w:t>家长要为孩子每天配备2个口罩</w:t>
      </w:r>
      <w:r>
        <w:rPr>
          <w:rFonts w:hint="eastAsia" w:ascii="宋体" w:hAnsi="宋体" w:eastAsia="宋体" w:cs="宋体"/>
          <w:b w:val="0"/>
          <w:bCs w:val="0"/>
          <w:sz w:val="24"/>
          <w:szCs w:val="24"/>
          <w:u w:val="none"/>
          <w:lang w:eastAsia="zh-CN"/>
        </w:rPr>
        <w:t>，</w:t>
      </w:r>
      <w:r>
        <w:rPr>
          <w:rFonts w:hint="eastAsia" w:ascii="宋体" w:hAnsi="宋体" w:eastAsia="宋体" w:cs="宋体"/>
          <w:b w:val="0"/>
          <w:bCs w:val="0"/>
          <w:sz w:val="24"/>
          <w:szCs w:val="24"/>
          <w:u w:val="none"/>
          <w:lang w:val="en-US" w:eastAsia="zh-CN"/>
        </w:rPr>
        <w:t>雨天带好雨具。另外，记得让孩子把红领巾和学生卡挂戴好。</w:t>
      </w:r>
      <w:r>
        <w:rPr>
          <w:rFonts w:hint="eastAsia" w:ascii="宋体" w:hAnsi="宋体" w:cs="宋体"/>
          <w:b w:val="0"/>
          <w:bCs w:val="0"/>
          <w:sz w:val="24"/>
          <w:szCs w:val="24"/>
          <w:u w:val="none"/>
          <w:lang w:val="en-US" w:eastAsia="zh-CN"/>
        </w:rPr>
        <w:t>对防护用品，</w:t>
      </w:r>
      <w:r>
        <w:rPr>
          <w:rFonts w:hint="eastAsia" w:ascii="宋体" w:hAnsi="宋体" w:eastAsia="宋体" w:cs="宋体"/>
          <w:b w:val="0"/>
          <w:bCs w:val="0"/>
          <w:sz w:val="24"/>
          <w:szCs w:val="24"/>
          <w:u w:val="none"/>
          <w:lang w:val="en-US" w:eastAsia="zh-CN"/>
        </w:rPr>
        <w:t>如有特殊困难</w:t>
      </w:r>
      <w:r>
        <w:rPr>
          <w:rFonts w:hint="eastAsia" w:ascii="宋体" w:hAnsi="宋体" w:cs="宋体"/>
          <w:b w:val="0"/>
          <w:bCs w:val="0"/>
          <w:sz w:val="24"/>
          <w:szCs w:val="24"/>
          <w:u w:val="none"/>
          <w:lang w:val="en-US" w:eastAsia="zh-CN"/>
        </w:rPr>
        <w:t>家庭</w:t>
      </w:r>
      <w:r>
        <w:rPr>
          <w:rFonts w:hint="eastAsia" w:ascii="宋体" w:hAnsi="宋体" w:eastAsia="宋体" w:cs="宋体"/>
          <w:b w:val="0"/>
          <w:bCs w:val="0"/>
          <w:sz w:val="24"/>
          <w:szCs w:val="24"/>
          <w:u w:val="none"/>
          <w:lang w:val="en-US" w:eastAsia="zh-CN"/>
        </w:rPr>
        <w:t>，可向学校申请帮助。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72"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2.明确需要上交的健康状况材料：</w:t>
      </w:r>
      <w:r>
        <w:rPr>
          <w:rFonts w:hint="eastAsia" w:ascii="宋体" w:hAnsi="宋体" w:eastAsia="宋体" w:cs="宋体"/>
          <w:sz w:val="24"/>
          <w:szCs w:val="24"/>
          <w:lang w:val="en-US" w:eastAsia="zh-CN"/>
        </w:rPr>
        <w:t>健康码、学生健康状况跟踪记录表、学生健康状况申报卡，</w:t>
      </w:r>
      <w:r>
        <w:rPr>
          <w:rFonts w:hint="eastAsia" w:ascii="宋体" w:hAnsi="宋体" w:eastAsia="宋体" w:cs="宋体"/>
          <w:sz w:val="24"/>
          <w:szCs w:val="24"/>
        </w:rPr>
        <w:t>凡是去过武汉、湖北或与已被确诊人员有密切接触的人员中被当地医学隔离或被集中隔离的学生必须要准备好社区（村委）或医院出具的《健康证明》</w:t>
      </w:r>
      <w:r>
        <w:rPr>
          <w:rFonts w:hint="eastAsia" w:ascii="宋体" w:hAnsi="宋体" w:eastAsia="宋体" w:cs="宋体"/>
          <w:b w:val="0"/>
          <w:bCs w:val="0"/>
          <w:color w:val="000000"/>
          <w:sz w:val="24"/>
          <w:szCs w:val="24"/>
          <w:u w:val="none"/>
        </w:rPr>
        <w:t>（家庭成员中有几人被隔离就须带齐几份《健康证明》或《解除隔离（观察）告知书》）</w:t>
      </w:r>
      <w:r>
        <w:rPr>
          <w:rFonts w:hint="eastAsia" w:ascii="宋体" w:hAnsi="宋体" w:eastAsia="宋体" w:cs="宋体"/>
          <w:sz w:val="24"/>
          <w:szCs w:val="24"/>
          <w:lang w:eastAsia="zh-CN"/>
        </w:rPr>
        <w:t>，</w:t>
      </w:r>
      <w:r>
        <w:rPr>
          <w:rFonts w:hint="eastAsia" w:ascii="宋体" w:hAnsi="宋体" w:eastAsia="宋体" w:cs="宋体"/>
          <w:b w:val="0"/>
          <w:bCs w:val="0"/>
          <w:color w:val="000000"/>
          <w:sz w:val="24"/>
          <w:szCs w:val="24"/>
          <w:highlight w:val="none"/>
          <w:u w:val="none"/>
          <w:lang w:val="en-US" w:eastAsia="zh-CN"/>
        </w:rPr>
        <w:t>3月20日之后湖北回常的同居室人员带好</w:t>
      </w:r>
      <w:r>
        <w:rPr>
          <w:rFonts w:hint="eastAsia" w:ascii="宋体" w:hAnsi="宋体" w:eastAsia="宋体" w:cs="宋体"/>
          <w:b/>
          <w:bCs/>
          <w:color w:val="000000"/>
          <w:sz w:val="24"/>
          <w:szCs w:val="24"/>
          <w:highlight w:val="none"/>
          <w:u w:val="none"/>
          <w:lang w:val="en-US" w:eastAsia="zh-CN"/>
        </w:rPr>
        <w:t>核酸检测阴性报告单并隔离期满14天</w:t>
      </w:r>
      <w:r>
        <w:rPr>
          <w:rFonts w:hint="eastAsia" w:ascii="宋体" w:hAnsi="宋体" w:eastAsia="宋体" w:cs="宋体"/>
          <w:sz w:val="24"/>
          <w:szCs w:val="24"/>
          <w:lang w:val="en-US" w:eastAsia="zh-CN"/>
        </w:rPr>
        <w:t>。4月1</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日进行网上报到，家长将当天的健康码、学生14天健康状况跟踪表（</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号至4月1</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日）上传在班级群中，由班主任审核。4月1</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日当天开学务必带好纸质的健康跟踪表及健康状况申报卡，交由班主任。</w:t>
      </w:r>
    </w:p>
    <w:p>
      <w:pPr>
        <w:keepNext w:val="0"/>
        <w:keepLines w:val="0"/>
        <w:pageBreakBefore w:val="0"/>
        <w:widowControl w:val="0"/>
        <w:kinsoku/>
        <w:wordWrap/>
        <w:overflowPunct/>
        <w:topLinePunct w:val="0"/>
        <w:autoSpaceDE/>
        <w:autoSpaceDN/>
        <w:bidi w:val="0"/>
        <w:spacing w:line="500" w:lineRule="exact"/>
        <w:ind w:left="0" w:leftChars="0" w:right="0" w:rightChars="0"/>
        <w:textAlignment w:val="auto"/>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四、</w:t>
      </w:r>
      <w:r>
        <w:rPr>
          <w:rFonts w:hint="eastAsia" w:asciiTheme="majorEastAsia" w:hAnsiTheme="majorEastAsia" w:eastAsiaTheme="majorEastAsia" w:cstheme="majorEastAsia"/>
          <w:b/>
          <w:bCs/>
          <w:sz w:val="24"/>
          <w:szCs w:val="24"/>
        </w:rPr>
        <w:t>配合学校管理</w:t>
      </w:r>
      <w:r>
        <w:rPr>
          <w:rFonts w:hint="eastAsia" w:asciiTheme="majorEastAsia" w:hAnsiTheme="majorEastAsia" w:eastAsiaTheme="majorEastAsia" w:cstheme="majorEastAsia"/>
          <w:b/>
          <w:bCs/>
          <w:sz w:val="24"/>
          <w:szCs w:val="24"/>
          <w:lang w:eastAsia="zh-CN"/>
        </w:rPr>
        <w:t>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200"/>
        <w:jc w:val="both"/>
        <w:textAlignment w:val="auto"/>
        <w:outlineLvl w:val="9"/>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b/>
          <w:bCs/>
          <w:sz w:val="24"/>
          <w:szCs w:val="24"/>
          <w:lang w:val="en-US" w:eastAsia="zh-CN"/>
        </w:rPr>
        <w:t>1.</w:t>
      </w:r>
      <w:r>
        <w:rPr>
          <w:rFonts w:hint="eastAsia" w:asciiTheme="majorEastAsia" w:hAnsiTheme="majorEastAsia" w:eastAsiaTheme="majorEastAsia" w:cstheme="majorEastAsia"/>
          <w:sz w:val="24"/>
          <w:szCs w:val="24"/>
        </w:rPr>
        <w:t>上放学</w:t>
      </w:r>
      <w:r>
        <w:rPr>
          <w:rFonts w:hint="eastAsia" w:asciiTheme="majorEastAsia" w:hAnsiTheme="majorEastAsia" w:eastAsiaTheme="majorEastAsia" w:cstheme="majorEastAsia"/>
          <w:color w:val="000000"/>
          <w:sz w:val="24"/>
          <w:szCs w:val="24"/>
          <w:lang w:val="en-US" w:eastAsia="zh-CN"/>
        </w:rPr>
        <w:t xml:space="preserve">尽量不乘坐公共交通工具，建议步行、骑行或乘坐私家车上学。如必须乘坐公共交通工具时，务必全程佩戴口罩，途中尽量佩戴一次性手套，避免用手触摸公共交通工具车上物品。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200"/>
        <w:jc w:val="both"/>
        <w:textAlignment w:val="auto"/>
        <w:outlineLvl w:val="9"/>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b w:val="0"/>
          <w:bCs w:val="0"/>
          <w:color w:val="000000"/>
          <w:sz w:val="24"/>
          <w:szCs w:val="24"/>
          <w:u w:val="none"/>
          <w:lang w:val="en-US" w:eastAsia="zh-CN"/>
        </w:rPr>
        <w:t>2.每天上学前</w:t>
      </w:r>
      <w:r>
        <w:rPr>
          <w:rFonts w:hint="eastAsia" w:asciiTheme="majorEastAsia" w:hAnsiTheme="majorEastAsia" w:eastAsiaTheme="majorEastAsia" w:cstheme="majorEastAsia"/>
          <w:color w:val="000000"/>
          <w:sz w:val="24"/>
          <w:szCs w:val="24"/>
          <w:lang w:val="en-US" w:eastAsia="zh-CN"/>
        </w:rPr>
        <w:t>在家帮孩子测量体温，并把体温填在QQ群里的表格。若体温超过37.3℃，或有乏力、干咳、气粗、胸闷等症状，到</w:t>
      </w:r>
      <w:r>
        <w:rPr>
          <w:rFonts w:hint="eastAsia" w:asciiTheme="majorEastAsia" w:hAnsiTheme="majorEastAsia" w:eastAsiaTheme="majorEastAsia" w:cstheme="majorEastAsia"/>
          <w:sz w:val="24"/>
          <w:szCs w:val="24"/>
        </w:rPr>
        <w:t>学校开具《学校发热门诊送诊单》</w:t>
      </w:r>
      <w:r>
        <w:rPr>
          <w:rFonts w:hint="eastAsia" w:asciiTheme="majorEastAsia" w:hAnsiTheme="majorEastAsia" w:eastAsiaTheme="majorEastAsia" w:cstheme="majorEastAsia"/>
          <w:sz w:val="24"/>
          <w:szCs w:val="24"/>
          <w:lang w:eastAsia="zh-CN"/>
        </w:rPr>
        <w:t>，到春江医院</w:t>
      </w:r>
      <w:r>
        <w:rPr>
          <w:rFonts w:hint="eastAsia" w:asciiTheme="majorEastAsia" w:hAnsiTheme="majorEastAsia" w:eastAsiaTheme="majorEastAsia" w:cstheme="majorEastAsia"/>
          <w:sz w:val="24"/>
          <w:szCs w:val="24"/>
        </w:rPr>
        <w:t>走绿色通道快速就诊</w:t>
      </w:r>
      <w:r>
        <w:rPr>
          <w:rFonts w:hint="eastAsia" w:asciiTheme="majorEastAsia" w:hAnsiTheme="majorEastAsia" w:eastAsiaTheme="majorEastAsia" w:cstheme="majorEastAsia"/>
          <w:color w:val="000000"/>
          <w:sz w:val="24"/>
          <w:szCs w:val="24"/>
          <w:lang w:val="en-US" w:eastAsia="zh-CN"/>
        </w:rPr>
        <w:t>，并将健康状况及时报告学校。</w:t>
      </w:r>
      <w:r>
        <w:rPr>
          <w:rFonts w:hint="eastAsia" w:asciiTheme="majorEastAsia" w:hAnsiTheme="majorEastAsia" w:eastAsiaTheme="majorEastAsia" w:cstheme="majorEastAsia"/>
          <w:b w:val="0"/>
          <w:bCs w:val="0"/>
          <w:color w:val="000000"/>
          <w:sz w:val="24"/>
          <w:szCs w:val="24"/>
          <w:u w:val="none"/>
        </w:rPr>
        <w:t>有特殊情况不能按时到校的，需向老师说明</w:t>
      </w:r>
      <w:r>
        <w:rPr>
          <w:rFonts w:hint="eastAsia" w:asciiTheme="majorEastAsia" w:hAnsiTheme="majorEastAsia" w:eastAsiaTheme="majorEastAsia" w:cstheme="majorEastAsia"/>
          <w:b w:val="0"/>
          <w:bCs w:val="0"/>
          <w:color w:val="000000"/>
          <w:sz w:val="24"/>
          <w:szCs w:val="24"/>
          <w:u w:val="none"/>
          <w:lang w:val="en-US" w:eastAsia="zh-CN"/>
        </w:rPr>
        <w:t>情况</w:t>
      </w:r>
      <w:r>
        <w:rPr>
          <w:rFonts w:hint="eastAsia" w:asciiTheme="majorEastAsia" w:hAnsiTheme="majorEastAsia" w:eastAsiaTheme="majorEastAsia" w:cstheme="majorEastAsia"/>
          <w:b w:val="0"/>
          <w:bCs w:val="0"/>
          <w:color w:val="000000"/>
          <w:sz w:val="24"/>
          <w:szCs w:val="24"/>
          <w:u w:val="none"/>
        </w:rPr>
        <w:t>。</w:t>
      </w:r>
    </w:p>
    <w:p>
      <w:pPr>
        <w:keepNext w:val="0"/>
        <w:keepLines w:val="0"/>
        <w:pageBreakBefore w:val="0"/>
        <w:widowControl w:val="0"/>
        <w:numPr>
          <w:ilvl w:val="0"/>
          <w:numId w:val="3"/>
        </w:numPr>
        <w:kinsoku/>
        <w:wordWrap/>
        <w:overflowPunct/>
        <w:topLinePunct w:val="0"/>
        <w:autoSpaceDE/>
        <w:autoSpaceDN/>
        <w:bidi w:val="0"/>
        <w:spacing w:line="500" w:lineRule="exact"/>
        <w:ind w:left="0" w:leftChars="0" w:right="0" w:rightChars="0" w:firstLine="472" w:firstLineChars="200"/>
        <w:textAlignment w:val="auto"/>
        <w:rPr>
          <w:rFonts w:hint="eastAsia" w:asciiTheme="majorEastAsia" w:hAnsiTheme="majorEastAsia" w:eastAsiaTheme="majorEastAsia" w:cstheme="majorEastAsia"/>
          <w:b w:val="0"/>
          <w:bCs w:val="0"/>
          <w:color w:val="000000"/>
          <w:sz w:val="24"/>
          <w:szCs w:val="24"/>
          <w:u w:val="none"/>
        </w:rPr>
      </w:pPr>
      <w:r>
        <w:rPr>
          <w:rFonts w:hint="eastAsia" w:asciiTheme="majorEastAsia" w:hAnsiTheme="majorEastAsia" w:eastAsiaTheme="majorEastAsia" w:cstheme="majorEastAsia"/>
          <w:sz w:val="24"/>
          <w:szCs w:val="24"/>
        </w:rPr>
        <w:t>接送时，</w:t>
      </w:r>
      <w:r>
        <w:rPr>
          <w:rFonts w:hint="eastAsia" w:asciiTheme="majorEastAsia" w:hAnsiTheme="majorEastAsia" w:eastAsiaTheme="majorEastAsia" w:cstheme="majorEastAsia"/>
          <w:sz w:val="24"/>
          <w:szCs w:val="24"/>
          <w:lang w:eastAsia="zh-CN"/>
        </w:rPr>
        <w:t>不扎堆，</w:t>
      </w:r>
      <w:r>
        <w:rPr>
          <w:rFonts w:hint="eastAsia" w:asciiTheme="majorEastAsia" w:hAnsiTheme="majorEastAsia" w:eastAsiaTheme="majorEastAsia" w:cstheme="majorEastAsia"/>
          <w:sz w:val="24"/>
          <w:szCs w:val="24"/>
        </w:rPr>
        <w:t>不聚集交谈，尽量保持合理间隔，不进入校园。</w:t>
      </w:r>
      <w:r>
        <w:rPr>
          <w:rFonts w:hint="eastAsia" w:ascii="宋体" w:hAnsi="宋体" w:eastAsia="宋体" w:cs="宋体"/>
          <w:sz w:val="24"/>
          <w:szCs w:val="24"/>
          <w:lang w:eastAsia="zh-CN"/>
        </w:rPr>
        <w:t>家长送孩子上学时</w:t>
      </w:r>
      <w:r>
        <w:rPr>
          <w:rFonts w:hint="eastAsia" w:ascii="宋体" w:hAnsi="宋体" w:cs="宋体"/>
          <w:sz w:val="24"/>
          <w:szCs w:val="24"/>
          <w:lang w:eastAsia="zh-CN"/>
        </w:rPr>
        <w:t>，南面家长不要送过新宇中路、北面家长不要过新港路。</w:t>
      </w:r>
      <w:r>
        <w:rPr>
          <w:rFonts w:hint="eastAsia" w:ascii="宋体" w:hAnsi="宋体" w:eastAsia="宋体" w:cs="宋体"/>
          <w:sz w:val="24"/>
          <w:szCs w:val="24"/>
          <w:lang w:eastAsia="zh-CN"/>
        </w:rPr>
        <w:t>疫情期间，交警会每天在学校门口值岗，请大家务必遵守交通规则！</w:t>
      </w:r>
    </w:p>
    <w:p>
      <w:pPr>
        <w:keepNext w:val="0"/>
        <w:keepLines w:val="0"/>
        <w:pageBreakBefore w:val="0"/>
        <w:widowControl w:val="0"/>
        <w:numPr>
          <w:ilvl w:val="0"/>
          <w:numId w:val="3"/>
        </w:numPr>
        <w:kinsoku/>
        <w:wordWrap/>
        <w:overflowPunct/>
        <w:topLinePunct w:val="0"/>
        <w:autoSpaceDE/>
        <w:autoSpaceDN/>
        <w:bidi w:val="0"/>
        <w:spacing w:line="500" w:lineRule="exact"/>
        <w:ind w:left="0" w:leftChars="0" w:right="0" w:rightChars="0" w:firstLine="472" w:firstLineChars="200"/>
        <w:textAlignment w:val="auto"/>
        <w:rPr>
          <w:rFonts w:hint="eastAsia" w:asciiTheme="majorEastAsia" w:hAnsiTheme="majorEastAsia" w:eastAsiaTheme="majorEastAsia" w:cstheme="majorEastAsia"/>
          <w:b w:val="0"/>
          <w:bCs w:val="0"/>
          <w:color w:val="000000"/>
          <w:sz w:val="24"/>
          <w:szCs w:val="24"/>
          <w:u w:val="none"/>
        </w:rPr>
      </w:pPr>
      <w:r>
        <w:rPr>
          <w:rFonts w:hint="eastAsia" w:asciiTheme="majorEastAsia" w:hAnsiTheme="majorEastAsia" w:eastAsiaTheme="majorEastAsia" w:cstheme="majorEastAsia"/>
          <w:color w:val="000000"/>
          <w:sz w:val="24"/>
          <w:szCs w:val="24"/>
          <w:u w:val="none"/>
        </w:rPr>
        <w:t>上学进校前，学生必须进行晨检。</w:t>
      </w:r>
      <w:r>
        <w:rPr>
          <w:rFonts w:hint="eastAsia" w:asciiTheme="majorEastAsia" w:hAnsiTheme="majorEastAsia" w:eastAsiaTheme="majorEastAsia" w:cstheme="majorEastAsia"/>
          <w:color w:val="auto"/>
          <w:sz w:val="24"/>
          <w:szCs w:val="24"/>
          <w:u w:val="none"/>
          <w:lang w:eastAsia="zh-CN"/>
        </w:rPr>
        <w:t>四五年级学生都从东校门进，放学时，五年级从东校门，四年级从西校门。</w:t>
      </w:r>
      <w:r>
        <w:rPr>
          <w:rFonts w:hint="eastAsia" w:asciiTheme="majorEastAsia" w:hAnsiTheme="majorEastAsia" w:eastAsiaTheme="majorEastAsia" w:cstheme="majorEastAsia"/>
          <w:b w:val="0"/>
          <w:bCs w:val="0"/>
          <w:color w:val="000000"/>
          <w:sz w:val="24"/>
          <w:szCs w:val="24"/>
          <w:u w:val="none"/>
        </w:rPr>
        <w:t>学生上学、放学原则上由家长自主独立接送</w:t>
      </w:r>
      <w:r>
        <w:rPr>
          <w:rFonts w:hint="eastAsia" w:asciiTheme="majorEastAsia" w:hAnsiTheme="majorEastAsia" w:eastAsiaTheme="majorEastAsia" w:cstheme="majorEastAsia"/>
          <w:b w:val="0"/>
          <w:bCs w:val="0"/>
          <w:color w:val="000000"/>
          <w:sz w:val="24"/>
          <w:szCs w:val="24"/>
          <w:u w:val="none"/>
          <w:lang w:eastAsia="zh-CN"/>
        </w:rPr>
        <w:t>（固定人员、固定时间、固定路线）</w:t>
      </w:r>
      <w:r>
        <w:rPr>
          <w:rFonts w:hint="eastAsia" w:asciiTheme="majorEastAsia" w:hAnsiTheme="majorEastAsia" w:eastAsiaTheme="majorEastAsia" w:cstheme="majorEastAsia"/>
          <w:b w:val="0"/>
          <w:bCs w:val="0"/>
          <w:color w:val="000000"/>
          <w:sz w:val="24"/>
          <w:szCs w:val="24"/>
          <w:u w:val="none"/>
        </w:rPr>
        <w:t>，单独出行为主</w:t>
      </w:r>
      <w:r>
        <w:rPr>
          <w:rFonts w:hint="eastAsia" w:asciiTheme="majorEastAsia" w:hAnsiTheme="majorEastAsia" w:eastAsiaTheme="majorEastAsia" w:cstheme="majorEastAsia"/>
          <w:b w:val="0"/>
          <w:bCs w:val="0"/>
          <w:color w:val="000000"/>
          <w:sz w:val="24"/>
          <w:szCs w:val="24"/>
          <w:u w:val="none"/>
          <w:lang w:eastAsia="zh-CN"/>
        </w:rPr>
        <w:t>，接送不要早，也不要晚</w:t>
      </w:r>
      <w:r>
        <w:rPr>
          <w:rFonts w:hint="eastAsia" w:asciiTheme="majorEastAsia" w:hAnsiTheme="majorEastAsia" w:eastAsiaTheme="majorEastAsia" w:cstheme="majorEastAsia"/>
          <w:b w:val="0"/>
          <w:bCs w:val="0"/>
          <w:color w:val="000000"/>
          <w:sz w:val="24"/>
          <w:szCs w:val="24"/>
          <w:u w:val="none"/>
        </w:rPr>
        <w:t>。</w:t>
      </w:r>
    </w:p>
    <w:p>
      <w:pPr>
        <w:keepNext w:val="0"/>
        <w:keepLines w:val="0"/>
        <w:pageBreakBefore w:val="0"/>
        <w:widowControl w:val="0"/>
        <w:numPr>
          <w:ilvl w:val="0"/>
          <w:numId w:val="0"/>
        </w:numPr>
        <w:kinsoku/>
        <w:wordWrap/>
        <w:overflowPunct/>
        <w:topLinePunct w:val="0"/>
        <w:autoSpaceDE/>
        <w:autoSpaceDN/>
        <w:bidi w:val="0"/>
        <w:spacing w:line="500" w:lineRule="exact"/>
        <w:ind w:left="0" w:leftChars="0" w:right="0" w:rightChars="0" w:firstLine="471"/>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5.学生要在家吃了早饭上学，不能聚集在校门周边的摊位上吃早饭。</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72" w:firstLineChars="200"/>
        <w:jc w:val="left"/>
        <w:textAlignment w:val="auto"/>
        <w:outlineLvl w:val="9"/>
        <w:rPr>
          <w:rFonts w:hint="eastAsia" w:asciiTheme="majorEastAsia" w:hAnsiTheme="majorEastAsia" w:eastAsiaTheme="majorEastAsia" w:cstheme="majorEastAsia"/>
          <w:b w:val="0"/>
          <w:bCs w:val="0"/>
          <w:color w:val="000000"/>
          <w:sz w:val="24"/>
          <w:szCs w:val="24"/>
          <w:u w:val="none"/>
        </w:rPr>
      </w:pP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b w:val="0"/>
          <w:bCs w:val="0"/>
          <w:color w:val="000000"/>
          <w:sz w:val="24"/>
          <w:szCs w:val="24"/>
          <w:u w:val="none"/>
        </w:rPr>
        <w:t>学校门卫不再接收学生作业本、水壶、午饭盒等物品。</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72" w:firstLineChars="200"/>
        <w:jc w:val="left"/>
        <w:textAlignment w:val="auto"/>
        <w:outlineLvl w:val="9"/>
        <w:rPr>
          <w:rFonts w:hint="eastAsia" w:asciiTheme="majorEastAsia" w:hAnsiTheme="majorEastAsia" w:eastAsiaTheme="majorEastAsia" w:cstheme="majorEastAsia"/>
          <w:b w:val="0"/>
          <w:bCs w:val="0"/>
          <w:color w:val="000000"/>
          <w:sz w:val="24"/>
          <w:szCs w:val="24"/>
          <w:u w:val="none"/>
          <w:lang w:val="en-US" w:eastAsia="zh-CN"/>
        </w:rPr>
      </w:pPr>
      <w:r>
        <w:rPr>
          <w:rFonts w:hint="eastAsia" w:asciiTheme="majorEastAsia" w:hAnsiTheme="majorEastAsia" w:eastAsiaTheme="majorEastAsia" w:cstheme="majorEastAsia"/>
          <w:b w:val="0"/>
          <w:bCs w:val="0"/>
          <w:color w:val="000000"/>
          <w:sz w:val="24"/>
          <w:szCs w:val="24"/>
          <w:u w:val="none"/>
          <w:lang w:val="en-US" w:eastAsia="zh-CN"/>
        </w:rPr>
        <w:t>7.学生原则上都在学校用午餐，午餐一律在教室用餐，</w:t>
      </w:r>
      <w:r>
        <w:rPr>
          <w:rFonts w:hint="eastAsia" w:asciiTheme="majorEastAsia" w:hAnsiTheme="majorEastAsia" w:eastAsiaTheme="majorEastAsia" w:cstheme="majorEastAsia"/>
          <w:color w:val="000000"/>
          <w:sz w:val="24"/>
          <w:szCs w:val="24"/>
          <w:lang w:val="en-US" w:eastAsia="zh-CN"/>
        </w:rPr>
        <w:t>中午门卫不再接收个别学生送午餐。</w:t>
      </w:r>
    </w:p>
    <w:p>
      <w:pPr>
        <w:keepNext w:val="0"/>
        <w:keepLines w:val="0"/>
        <w:pageBreakBefore w:val="0"/>
        <w:widowControl w:val="0"/>
        <w:numPr>
          <w:ilvl w:val="0"/>
          <w:numId w:val="0"/>
        </w:numPr>
        <w:kinsoku/>
        <w:wordWrap/>
        <w:overflowPunct/>
        <w:topLinePunct w:val="0"/>
        <w:autoSpaceDE/>
        <w:autoSpaceDN/>
        <w:bidi w:val="0"/>
        <w:spacing w:line="500" w:lineRule="exact"/>
        <w:ind w:left="0" w:leftChars="0" w:right="0" w:rightChars="0" w:firstLine="472" w:firstLineChars="200"/>
        <w:textAlignment w:val="auto"/>
        <w:rPr>
          <w:rFonts w:hint="eastAsia" w:asciiTheme="majorEastAsia" w:hAnsiTheme="majorEastAsia" w:eastAsiaTheme="majorEastAsia" w:cstheme="majorEastAsia"/>
          <w:b w:val="0"/>
          <w:bCs w:val="0"/>
          <w:color w:val="000000"/>
          <w:sz w:val="24"/>
          <w:szCs w:val="24"/>
          <w:u w:val="none"/>
        </w:rPr>
      </w:pPr>
      <w:r>
        <w:rPr>
          <w:rFonts w:hint="eastAsia" w:asciiTheme="majorEastAsia" w:hAnsiTheme="majorEastAsia" w:eastAsiaTheme="majorEastAsia" w:cstheme="majorEastAsia"/>
          <w:color w:val="auto"/>
          <w:sz w:val="24"/>
          <w:szCs w:val="24"/>
          <w:u w:val="none"/>
          <w:lang w:val="en-US" w:eastAsia="zh-CN"/>
        </w:rPr>
        <w:t>8.</w:t>
      </w:r>
      <w:r>
        <w:rPr>
          <w:rFonts w:hint="eastAsia" w:asciiTheme="majorEastAsia" w:hAnsiTheme="majorEastAsia" w:eastAsiaTheme="majorEastAsia" w:cstheme="majorEastAsia"/>
          <w:color w:val="auto"/>
          <w:sz w:val="24"/>
          <w:szCs w:val="24"/>
          <w:u w:val="none"/>
          <w:lang w:eastAsia="zh-CN"/>
        </w:rPr>
        <w:t>放晚学时</w:t>
      </w:r>
      <w:r>
        <w:rPr>
          <w:rFonts w:hint="eastAsia" w:asciiTheme="majorEastAsia" w:hAnsiTheme="majorEastAsia" w:eastAsiaTheme="majorEastAsia" w:cstheme="majorEastAsia"/>
          <w:color w:val="000000"/>
          <w:sz w:val="24"/>
          <w:szCs w:val="24"/>
          <w:lang w:val="en-US" w:eastAsia="zh-CN"/>
        </w:rPr>
        <w:t>由正副班主任老师带领学生统一离开学校，不能在教室和门卫以及校园逗留，家长必须准时到指定的等候区接孩子回家（学校班主任老师不负责在等候区看护），等候区分别在东、西校门的围墙处。</w:t>
      </w:r>
    </w:p>
    <w:p>
      <w:pPr>
        <w:keepNext w:val="0"/>
        <w:keepLines w:val="0"/>
        <w:pageBreakBefore w:val="0"/>
        <w:widowControl w:val="0"/>
        <w:kinsoku/>
        <w:wordWrap/>
        <w:overflowPunct/>
        <w:topLinePunct w:val="0"/>
        <w:autoSpaceDE/>
        <w:autoSpaceDN/>
        <w:bidi w:val="0"/>
        <w:spacing w:line="500" w:lineRule="exact"/>
        <w:ind w:left="0" w:leftChars="0" w:right="0" w:rightChars="0" w:firstLine="47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val="0"/>
          <w:bCs w:val="0"/>
          <w:sz w:val="24"/>
          <w:szCs w:val="24"/>
          <w:lang w:val="en-US" w:eastAsia="zh-CN"/>
        </w:rPr>
        <w:t>9</w:t>
      </w:r>
      <w:r>
        <w:rPr>
          <w:rFonts w:hint="eastAsia" w:asciiTheme="majorEastAsia" w:hAnsiTheme="majorEastAsia" w:eastAsiaTheme="majorEastAsia" w:cstheme="majorEastAsia"/>
          <w:b w:val="0"/>
          <w:bCs w:val="0"/>
          <w:sz w:val="24"/>
          <w:szCs w:val="24"/>
        </w:rPr>
        <w:t>.</w:t>
      </w:r>
      <w:r>
        <w:rPr>
          <w:rFonts w:hint="eastAsia" w:asciiTheme="majorEastAsia" w:hAnsiTheme="majorEastAsia" w:eastAsiaTheme="majorEastAsia" w:cstheme="majorEastAsia"/>
          <w:sz w:val="24"/>
          <w:szCs w:val="24"/>
          <w:lang w:eastAsia="zh-CN"/>
        </w:rPr>
        <w:t>家长要</w:t>
      </w:r>
      <w:r>
        <w:rPr>
          <w:rFonts w:hint="eastAsia" w:asciiTheme="majorEastAsia" w:hAnsiTheme="majorEastAsia" w:eastAsiaTheme="majorEastAsia" w:cstheme="majorEastAsia"/>
          <w:sz w:val="24"/>
          <w:szCs w:val="24"/>
        </w:rPr>
        <w:t>理解并服从学校防疫、教学、就餐等方面的管理安排。</w:t>
      </w:r>
      <w:r>
        <w:rPr>
          <w:rFonts w:hint="eastAsia" w:asciiTheme="majorEastAsia" w:hAnsiTheme="majorEastAsia" w:eastAsiaTheme="majorEastAsia" w:cstheme="majorEastAsia"/>
          <w:sz w:val="24"/>
          <w:szCs w:val="24"/>
          <w:lang w:eastAsia="zh-CN"/>
        </w:rPr>
        <w:t>每个家庭要保证有一个监护人保持手机</w:t>
      </w:r>
      <w:r>
        <w:rPr>
          <w:rFonts w:hint="eastAsia" w:asciiTheme="majorEastAsia" w:hAnsiTheme="majorEastAsia" w:eastAsiaTheme="majorEastAsia" w:cstheme="majorEastAsia"/>
          <w:sz w:val="24"/>
          <w:szCs w:val="24"/>
          <w:lang w:val="en-US" w:eastAsia="zh-CN"/>
        </w:rPr>
        <w:t>24小时能接通，</w:t>
      </w:r>
      <w:r>
        <w:rPr>
          <w:rFonts w:hint="eastAsia" w:asciiTheme="majorEastAsia" w:hAnsiTheme="majorEastAsia" w:eastAsiaTheme="majorEastAsia" w:cstheme="majorEastAsia"/>
          <w:sz w:val="24"/>
          <w:szCs w:val="24"/>
        </w:rPr>
        <w:t>克服疫情防控带来的不便和困难，保障好孩子的健康和安全。</w:t>
      </w:r>
    </w:p>
    <w:p>
      <w:pPr>
        <w:pStyle w:val="2"/>
        <w:keepNext w:val="0"/>
        <w:keepLines w:val="0"/>
        <w:pageBreakBefore w:val="0"/>
        <w:widowControl w:val="0"/>
        <w:kinsoku/>
        <w:wordWrap/>
        <w:overflowPunct/>
        <w:topLinePunct w:val="0"/>
        <w:autoSpaceDE/>
        <w:autoSpaceDN/>
        <w:bidi w:val="0"/>
        <w:spacing w:after="0" w:line="500" w:lineRule="exact"/>
        <w:ind w:left="0" w:leftChars="0" w:right="0" w:rightChars="0" w:firstLine="47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家长朋友们，守护好每一位孩子的生命安全和身体健康，是我们共同的使命和心愿。让我们家校同心、共克时艰，全面打赢这场疫情防控阻击战，为孩子们共同创造更加美好的明天！</w:t>
      </w:r>
    </w:p>
    <w:p>
      <w:pPr>
        <w:pStyle w:val="2"/>
        <w:keepNext w:val="0"/>
        <w:keepLines w:val="0"/>
        <w:pageBreakBefore w:val="0"/>
        <w:widowControl w:val="0"/>
        <w:kinsoku/>
        <w:wordWrap/>
        <w:overflowPunct/>
        <w:topLinePunct w:val="0"/>
        <w:autoSpaceDE/>
        <w:autoSpaceDN/>
        <w:bidi w:val="0"/>
        <w:spacing w:after="0" w:line="500" w:lineRule="exact"/>
        <w:ind w:left="0" w:leftChars="0" w:right="0" w:rightChars="0" w:firstLine="6049" w:firstLineChars="2563"/>
        <w:textAlignment w:val="auto"/>
        <w:rPr>
          <w:rFonts w:hint="eastAsia" w:asciiTheme="majorEastAsia" w:hAnsiTheme="majorEastAsia" w:eastAsiaTheme="majorEastAsia" w:cstheme="majorEastAsia"/>
          <w:b/>
          <w:bCs/>
          <w:sz w:val="24"/>
          <w:szCs w:val="24"/>
        </w:rPr>
      </w:pPr>
    </w:p>
    <w:p>
      <w:pPr>
        <w:pStyle w:val="2"/>
        <w:keepNext w:val="0"/>
        <w:keepLines w:val="0"/>
        <w:pageBreakBefore w:val="0"/>
        <w:widowControl w:val="0"/>
        <w:kinsoku/>
        <w:wordWrap/>
        <w:overflowPunct/>
        <w:topLinePunct w:val="0"/>
        <w:autoSpaceDE/>
        <w:autoSpaceDN/>
        <w:bidi w:val="0"/>
        <w:spacing w:after="0" w:line="500" w:lineRule="exact"/>
        <w:ind w:left="0" w:leftChars="0" w:right="0" w:rightChars="0" w:firstLine="6049" w:firstLineChars="2563"/>
        <w:textAlignment w:val="auto"/>
        <w:rPr>
          <w:rFonts w:hint="eastAsia" w:ascii="宋体" w:hAnsi="宋体" w:eastAsia="宋体" w:cs="宋体"/>
          <w:b/>
          <w:bCs/>
          <w:sz w:val="24"/>
        </w:rPr>
      </w:pPr>
      <w:r>
        <w:rPr>
          <w:rFonts w:hint="eastAsia" w:ascii="宋体" w:hAnsi="宋体" w:eastAsia="宋体" w:cs="宋体"/>
          <w:b/>
          <w:bCs/>
          <w:sz w:val="24"/>
        </w:rPr>
        <w:t>常州市新北区</w:t>
      </w:r>
      <w:r>
        <w:rPr>
          <w:rFonts w:hint="eastAsia" w:ascii="宋体" w:hAnsi="宋体" w:cs="宋体"/>
          <w:b/>
          <w:bCs/>
          <w:sz w:val="24"/>
          <w:lang w:eastAsia="zh-CN"/>
        </w:rPr>
        <w:t>圩塘中心</w:t>
      </w:r>
      <w:r>
        <w:rPr>
          <w:rFonts w:hint="eastAsia" w:ascii="宋体" w:hAnsi="宋体" w:eastAsia="宋体" w:cs="宋体"/>
          <w:b/>
          <w:bCs/>
          <w:sz w:val="24"/>
        </w:rPr>
        <w:t>小学</w:t>
      </w:r>
    </w:p>
    <w:p>
      <w:pPr>
        <w:pStyle w:val="2"/>
        <w:keepNext w:val="0"/>
        <w:keepLines w:val="0"/>
        <w:pageBreakBefore w:val="0"/>
        <w:widowControl w:val="0"/>
        <w:kinsoku/>
        <w:wordWrap/>
        <w:overflowPunct/>
        <w:topLinePunct w:val="0"/>
        <w:autoSpaceDE/>
        <w:autoSpaceDN/>
        <w:bidi w:val="0"/>
        <w:spacing w:after="0" w:line="500" w:lineRule="exact"/>
        <w:ind w:left="0" w:leftChars="0" w:right="0" w:rightChars="0" w:firstLine="7128" w:firstLineChars="3020"/>
        <w:textAlignment w:val="auto"/>
        <w:rPr>
          <w:rFonts w:hint="default" w:ascii="宋体" w:hAnsi="宋体" w:eastAsia="宋体" w:cs="宋体"/>
          <w:b/>
          <w:bCs/>
          <w:sz w:val="24"/>
          <w:lang w:val="en-US" w:eastAsia="zh-CN"/>
        </w:rPr>
      </w:pPr>
      <w:r>
        <w:rPr>
          <w:rFonts w:hint="eastAsia" w:ascii="宋体" w:hAnsi="宋体" w:eastAsia="宋体" w:cs="宋体"/>
          <w:b/>
          <w:bCs/>
          <w:sz w:val="24"/>
        </w:rPr>
        <w:t>2020.</w:t>
      </w:r>
      <w:r>
        <w:rPr>
          <w:rFonts w:hint="eastAsia" w:ascii="宋体" w:hAnsi="宋体" w:cs="宋体"/>
          <w:b/>
          <w:bCs/>
          <w:sz w:val="24"/>
          <w:lang w:val="en-US" w:eastAsia="zh-CN"/>
        </w:rPr>
        <w:t>4</w:t>
      </w:r>
      <w:r>
        <w:rPr>
          <w:rFonts w:hint="eastAsia" w:ascii="宋体" w:hAnsi="宋体" w:eastAsia="宋体" w:cs="宋体"/>
          <w:b/>
          <w:bCs/>
          <w:sz w:val="24"/>
        </w:rPr>
        <w:t>.</w:t>
      </w:r>
      <w:r>
        <w:rPr>
          <w:rFonts w:hint="eastAsia" w:ascii="宋体" w:hAnsi="宋体" w:cs="宋体"/>
          <w:b/>
          <w:bCs/>
          <w:sz w:val="24"/>
          <w:lang w:val="en-US" w:eastAsia="zh-CN"/>
        </w:rPr>
        <w:t>13</w:t>
      </w:r>
      <w:bookmarkStart w:id="0" w:name="_GoBack"/>
      <w:bookmarkEnd w:id="0"/>
    </w:p>
    <w:p>
      <w:pPr>
        <w:pStyle w:val="2"/>
        <w:keepNext w:val="0"/>
        <w:keepLines w:val="0"/>
        <w:pageBreakBefore w:val="0"/>
        <w:widowControl w:val="0"/>
        <w:kinsoku/>
        <w:wordWrap/>
        <w:overflowPunct/>
        <w:topLinePunct w:val="0"/>
        <w:autoSpaceDE/>
        <w:autoSpaceDN/>
        <w:bidi w:val="0"/>
        <w:spacing w:after="0" w:line="500" w:lineRule="exact"/>
        <w:ind w:left="0" w:leftChars="0" w:right="0" w:rightChars="0" w:firstLine="7128" w:firstLineChars="3020"/>
        <w:textAlignment w:val="auto"/>
        <w:rPr>
          <w:rFonts w:hint="eastAsia" w:ascii="宋体" w:hAnsi="宋体" w:cs="宋体"/>
          <w:b/>
          <w:bCs/>
          <w:sz w:val="24"/>
          <w:lang w:val="en-US" w:eastAsia="zh-CN"/>
        </w:rPr>
      </w:pPr>
    </w:p>
    <w:p>
      <w:pPr>
        <w:pStyle w:val="2"/>
        <w:keepNext w:val="0"/>
        <w:keepLines w:val="0"/>
        <w:pageBreakBefore w:val="0"/>
        <w:widowControl w:val="0"/>
        <w:kinsoku/>
        <w:wordWrap/>
        <w:overflowPunct/>
        <w:topLinePunct w:val="0"/>
        <w:autoSpaceDE/>
        <w:autoSpaceDN/>
        <w:bidi w:val="0"/>
        <w:spacing w:after="0" w:line="500" w:lineRule="exact"/>
        <w:ind w:left="0" w:leftChars="0" w:right="0" w:rightChars="0"/>
        <w:textAlignment w:val="auto"/>
        <w:rPr>
          <w:rFonts w:hint="eastAsia" w:ascii="宋体" w:hAnsi="宋体" w:eastAsia="宋体" w:cs="宋体"/>
          <w:sz w:val="24"/>
        </w:rPr>
      </w:pPr>
    </w:p>
    <w:sectPr>
      <w:footerReference r:id="rId3" w:type="default"/>
      <w:pgSz w:w="11906" w:h="16838"/>
      <w:pgMar w:top="1134" w:right="1134" w:bottom="1134" w:left="1134" w:header="709" w:footer="1361" w:gutter="0"/>
      <w:pgNumType w:fmt="numberInDash" w:start="1"/>
      <w:cols w:space="425" w:num="1"/>
      <w:docGrid w:type="linesAndChars" w:linePitch="579"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013AB"/>
    <w:multiLevelType w:val="singleLevel"/>
    <w:tmpl w:val="5E9013AB"/>
    <w:lvl w:ilvl="0" w:tentative="0">
      <w:start w:val="1"/>
      <w:numFmt w:val="chineseCounting"/>
      <w:suff w:val="nothing"/>
      <w:lvlText w:val="%1、"/>
      <w:lvlJc w:val="left"/>
    </w:lvl>
  </w:abstractNum>
  <w:abstractNum w:abstractNumId="1">
    <w:nsid w:val="5E9013C5"/>
    <w:multiLevelType w:val="singleLevel"/>
    <w:tmpl w:val="5E9013C5"/>
    <w:lvl w:ilvl="0" w:tentative="0">
      <w:start w:val="3"/>
      <w:numFmt w:val="chineseCounting"/>
      <w:suff w:val="nothing"/>
      <w:lvlText w:val="%1、"/>
      <w:lvlJc w:val="left"/>
    </w:lvl>
  </w:abstractNum>
  <w:abstractNum w:abstractNumId="2">
    <w:nsid w:val="5E90193E"/>
    <w:multiLevelType w:val="singleLevel"/>
    <w:tmpl w:val="5E90193E"/>
    <w:lvl w:ilvl="0" w:tentative="0">
      <w:start w:val="3"/>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cumentProtection w:enforcement="0"/>
  <w:defaultTabStop w:val="420"/>
  <w:drawingGridHorizontalSpacing w:val="103"/>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CB1"/>
    <w:rsid w:val="00024E11"/>
    <w:rsid w:val="00061263"/>
    <w:rsid w:val="0009017D"/>
    <w:rsid w:val="000C47D3"/>
    <w:rsid w:val="000D6056"/>
    <w:rsid w:val="00156E85"/>
    <w:rsid w:val="001B2930"/>
    <w:rsid w:val="001C74B1"/>
    <w:rsid w:val="002250FB"/>
    <w:rsid w:val="0028796B"/>
    <w:rsid w:val="002A42B4"/>
    <w:rsid w:val="00351DD7"/>
    <w:rsid w:val="003929D4"/>
    <w:rsid w:val="003C5CB1"/>
    <w:rsid w:val="003F3037"/>
    <w:rsid w:val="00425711"/>
    <w:rsid w:val="0044791B"/>
    <w:rsid w:val="00453D9A"/>
    <w:rsid w:val="004B1188"/>
    <w:rsid w:val="004B612F"/>
    <w:rsid w:val="004B77F1"/>
    <w:rsid w:val="00504CCC"/>
    <w:rsid w:val="00535E80"/>
    <w:rsid w:val="00545ECF"/>
    <w:rsid w:val="00591B74"/>
    <w:rsid w:val="005B236B"/>
    <w:rsid w:val="005E7D35"/>
    <w:rsid w:val="00622C93"/>
    <w:rsid w:val="0064103F"/>
    <w:rsid w:val="006410A7"/>
    <w:rsid w:val="00686AB4"/>
    <w:rsid w:val="006C2889"/>
    <w:rsid w:val="00726C09"/>
    <w:rsid w:val="00736634"/>
    <w:rsid w:val="00753F4C"/>
    <w:rsid w:val="007F5BF5"/>
    <w:rsid w:val="00804207"/>
    <w:rsid w:val="008F6DA4"/>
    <w:rsid w:val="00920281"/>
    <w:rsid w:val="0094279A"/>
    <w:rsid w:val="009723BB"/>
    <w:rsid w:val="009757AD"/>
    <w:rsid w:val="009F5D8A"/>
    <w:rsid w:val="00A101F9"/>
    <w:rsid w:val="00A1233F"/>
    <w:rsid w:val="00A37001"/>
    <w:rsid w:val="00A56FEE"/>
    <w:rsid w:val="00AF6E33"/>
    <w:rsid w:val="00B05FDD"/>
    <w:rsid w:val="00B45DEB"/>
    <w:rsid w:val="00B64237"/>
    <w:rsid w:val="00B847F7"/>
    <w:rsid w:val="00BD0484"/>
    <w:rsid w:val="00C10CE2"/>
    <w:rsid w:val="00C17C66"/>
    <w:rsid w:val="00C742C3"/>
    <w:rsid w:val="00C743EB"/>
    <w:rsid w:val="00C932DD"/>
    <w:rsid w:val="00CE2F11"/>
    <w:rsid w:val="00D26A4C"/>
    <w:rsid w:val="00D275C6"/>
    <w:rsid w:val="00D7150A"/>
    <w:rsid w:val="00DA139E"/>
    <w:rsid w:val="00DC0A2C"/>
    <w:rsid w:val="00DC19F6"/>
    <w:rsid w:val="00DE37C4"/>
    <w:rsid w:val="00E2167F"/>
    <w:rsid w:val="00E22862"/>
    <w:rsid w:val="00E23595"/>
    <w:rsid w:val="00E47750"/>
    <w:rsid w:val="00E674B1"/>
    <w:rsid w:val="00E705B8"/>
    <w:rsid w:val="00ED7230"/>
    <w:rsid w:val="00EF29A9"/>
    <w:rsid w:val="00F5469E"/>
    <w:rsid w:val="00FC38F4"/>
    <w:rsid w:val="00FD716C"/>
    <w:rsid w:val="00FE45CD"/>
    <w:rsid w:val="00FF0D50"/>
    <w:rsid w:val="00FF2EAE"/>
    <w:rsid w:val="02E87D6C"/>
    <w:rsid w:val="07037535"/>
    <w:rsid w:val="0A883449"/>
    <w:rsid w:val="0B7903EC"/>
    <w:rsid w:val="0BED0121"/>
    <w:rsid w:val="14C67EC2"/>
    <w:rsid w:val="18A200D2"/>
    <w:rsid w:val="1936075F"/>
    <w:rsid w:val="19663F6B"/>
    <w:rsid w:val="249E43AC"/>
    <w:rsid w:val="253A5216"/>
    <w:rsid w:val="26C32508"/>
    <w:rsid w:val="2C3E3B33"/>
    <w:rsid w:val="2E957F60"/>
    <w:rsid w:val="303F1081"/>
    <w:rsid w:val="34166EDC"/>
    <w:rsid w:val="458252F9"/>
    <w:rsid w:val="459025F0"/>
    <w:rsid w:val="46C37306"/>
    <w:rsid w:val="49791ED4"/>
    <w:rsid w:val="5152627D"/>
    <w:rsid w:val="53B87636"/>
    <w:rsid w:val="54924EF0"/>
    <w:rsid w:val="5BA75AF8"/>
    <w:rsid w:val="5C5419BE"/>
    <w:rsid w:val="5DF65BCB"/>
    <w:rsid w:val="63CD7AC2"/>
    <w:rsid w:val="63FE1B99"/>
    <w:rsid w:val="674D0FAC"/>
    <w:rsid w:val="69D25A65"/>
    <w:rsid w:val="6F1846FE"/>
    <w:rsid w:val="6F6A16CC"/>
    <w:rsid w:val="71582827"/>
    <w:rsid w:val="7A2E06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9"/>
    <w:qFormat/>
    <w:uiPriority w:val="99"/>
    <w:pPr>
      <w:spacing w:after="120"/>
    </w:pPr>
    <w:rPr>
      <w:rFonts w:ascii="Calibri" w:hAnsi="Calibri"/>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tabs>
        <w:tab w:val="center" w:pos="4153"/>
        <w:tab w:val="right" w:pos="8306"/>
      </w:tabs>
      <w:snapToGrid w:val="0"/>
      <w:spacing w:after="200"/>
      <w:jc w:val="center"/>
    </w:pPr>
    <w:rPr>
      <w:rFonts w:ascii="Calibri" w:hAnsi="Calibri"/>
      <w:kern w:val="0"/>
      <w:sz w:val="18"/>
      <w:szCs w:val="18"/>
    </w:rPr>
  </w:style>
  <w:style w:type="character" w:styleId="6">
    <w:name w:val="page number"/>
    <w:basedOn w:val="5"/>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正文文本 Char"/>
    <w:basedOn w:val="5"/>
    <w:link w:val="2"/>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181</Words>
  <Characters>1032</Characters>
  <Lines>8</Lines>
  <Paragraphs>2</Paragraphs>
  <ScaleCrop>false</ScaleCrop>
  <LinksUpToDate>false</LinksUpToDate>
  <CharactersWithSpaces>1211</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2020-03-28T01:14:00Z</dcterms:created>
  <dc:creator>吴琳赟</dc:creator>
  <cp:lastModifiedBy>Administrator</cp:lastModifiedBy>
  <cp:lastPrinted>2020-02-02T09:36:00Z</cp:lastPrinted>
  <dcterms:modified xsi:type="dcterms:W3CDTF">2020-04-13T03:27:53Z</dcterms:modified>
  <dc:title>常教复〔2018〕1号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