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2020学年上 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主题班会设计与实施的策略研究 </w:t>
      </w:r>
      <w:r>
        <w:rPr>
          <w:rFonts w:hint="eastAsia"/>
          <w:b/>
          <w:bCs/>
          <w:sz w:val="28"/>
          <w:szCs w:val="36"/>
          <w:lang w:eastAsia="zh-CN"/>
        </w:rPr>
        <w:t>课题学期研究计划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796"/>
        <w:gridCol w:w="219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9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主题班会课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2020.06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线上研讨</w:t>
            </w:r>
          </w:p>
        </w:tc>
        <w:tc>
          <w:tcPr>
            <w:tcW w:w="21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可能会和区班主任工作室活动联合开展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 w:ascii="宋体" w:hAnsi="宋体" w:eastAsia="宋体" w:cs="楷体"/>
                <w:kern w:val="0"/>
                <w:sz w:val="24"/>
                <w:szCs w:val="24"/>
              </w:rPr>
              <w:t>主题班会设计与实施的策略研究</w:t>
            </w:r>
            <w:r>
              <w:rPr>
                <w:rFonts w:hint="eastAsia"/>
                <w:lang w:eastAsia="zh-CN"/>
              </w:rPr>
              <w:t>”研究报告</w:t>
            </w: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研究报告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赵金龙、胡晔珺、宋玉</w:t>
            </w:r>
          </w:p>
        </w:tc>
        <w:tc>
          <w:tcPr>
            <w:tcW w:w="32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2020.12</w:t>
            </w:r>
            <w:bookmarkStart w:id="0" w:name="_GoBack"/>
            <w:bookmarkEnd w:id="0"/>
          </w:p>
        </w:tc>
        <w:tc>
          <w:tcPr>
            <w:tcW w:w="21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008E"/>
    <w:rsid w:val="1C914FBE"/>
    <w:rsid w:val="27A4775F"/>
    <w:rsid w:val="3BCD5D2F"/>
    <w:rsid w:val="483F0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海阔凭鱼跃</cp:lastModifiedBy>
  <dcterms:modified xsi:type="dcterms:W3CDTF">2020-04-14T05:10:33Z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