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《体育与健康》课时教学计划</w:t>
      </w:r>
    </w:p>
    <w:tbl>
      <w:tblPr>
        <w:tblStyle w:val="4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0"/>
        <w:gridCol w:w="1366"/>
        <w:gridCol w:w="1315"/>
        <w:gridCol w:w="525"/>
        <w:gridCol w:w="576"/>
        <w:gridCol w:w="420"/>
        <w:gridCol w:w="1786"/>
        <w:gridCol w:w="1051"/>
        <w:gridCol w:w="736"/>
        <w:gridCol w:w="498"/>
        <w:gridCol w:w="425"/>
        <w:gridCol w:w="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8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教学内容：</w:t>
            </w:r>
            <w:r>
              <w:rPr>
                <w:rFonts w:hint="eastAsia"/>
                <w:sz w:val="24"/>
              </w:rPr>
              <w:t>自然走，前脚掌走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授课时间：</w:t>
            </w:r>
            <w:r>
              <w:rPr>
                <w:rFonts w:hint="eastAsia" w:ascii="黑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黑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黑体" w:cs="宋体"/>
                <w:bCs/>
                <w:kern w:val="0"/>
                <w:sz w:val="24"/>
              </w:rPr>
              <w:t>日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星期：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学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习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目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标</w:t>
            </w:r>
          </w:p>
        </w:tc>
        <w:tc>
          <w:tcPr>
            <w:tcW w:w="91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/>
              </w:rPr>
              <w:t>认知目标：懂得自然走和前脚掌走的正确方法，知道走时身体要自然放松，上体正直，自然挺胸。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/>
              </w:rPr>
              <w:t>技能目标：熟练掌握走和前脚掌走的正确姿势，做到上体正直，自然挺胸，眼看前方。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/>
              </w:rPr>
              <w:t>情感目标：能做到听指挥，遵守纪律。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教学重、难点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教学重点：</w:t>
            </w:r>
            <w:r>
              <w:rPr>
                <w:rFonts w:hint="eastAsia"/>
              </w:rPr>
              <w:t>掌握自然走和前脚掌走的动作要领。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教学难点：</w:t>
            </w:r>
            <w:r>
              <w:rPr>
                <w:rFonts w:hint="eastAsia"/>
              </w:rPr>
              <w:t>做到自然放松。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课的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准备部分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1、课堂常规。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2、准备活动。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1、教师用亲切的语言与学生们问好。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2、教师带领学生慢跑150米。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3、徒手操：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①扩胸运动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②体转运动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③俯背运动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④膝部运动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⑤腕、踝运动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1、组织学生集体与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教师问好。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2、学生排成两路纵队慢跑150米。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3、学生散点站立，听口令进行徒手操练习。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pict>
                <v:shape id="_x0000_s1026" o:spid="_x0000_s1026" o:spt="5" type="#_x0000_t5" style="position:absolute;left:0pt;margin-left:23.15pt;margin-top:13.75pt;height:7.15pt;width:10.5pt;z-index:25165619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基本部分</w:t>
            </w: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课的</w:t>
            </w:r>
          </w:p>
          <w:p>
            <w:pPr>
              <w:ind w:left="120" w:leftChars="57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一、自然走，前脚掌走。</w:t>
            </w: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1、教师讲解、示范自然走和前脚掌走的动作要领。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要求：自然放松。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2、教师组织学生原地练习自然和前脚掌走动作。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3、教师组织学生分散练习自然和前脚掌走动作。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4、组织学生练习把手放在不同的部位的自然走和前脚掌走，比比看，谁走的好。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学生集体认真听老师讲解，仔细观察老师示范。</w:t>
            </w:r>
          </w:p>
          <w:p>
            <w:pPr>
              <w:ind w:left="360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学生跟随教师一起原地练习自然走和前脚掌走。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学生自己分散练习自然走和前脚掌走。</w:t>
            </w:r>
          </w:p>
          <w:p>
            <w:pPr>
              <w:ind w:left="36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4、学生分组练习并相互指导，比一比谁走的好。</w:t>
            </w: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pict>
                <v:shape id="_x0000_s1034" o:spid="_x0000_s1034" o:spt="5" type="#_x0000_t5" style="position:absolute;left:0pt;margin-left:23.15pt;margin-top:13.75pt;height:7.15pt;width:10.5pt;z-index:25165926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3至4次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kern w:val="0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基本部分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二、游戏：快走贴烧饼。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1、教师讲解游戏的方法和规则，强调是走动中的贴烧饼。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2、教师演示游戏的玩法。</w:t>
            </w:r>
          </w:p>
          <w:p>
            <w:r>
              <w:rPr>
                <w:rFonts w:hint="eastAsia" w:ascii="宋体" w:hAnsi="宋体"/>
                <w:sz w:val="24"/>
              </w:rPr>
              <w:t>3、</w:t>
            </w:r>
            <w:r>
              <w:rPr>
                <w:rFonts w:hint="eastAsia"/>
                <w:sz w:val="24"/>
              </w:rPr>
              <w:t>教师组织学生进行游戏，并且巡视指导</w:t>
            </w:r>
            <w:r>
              <w:rPr>
                <w:rFonts w:hint="eastAsia"/>
              </w:rPr>
              <w:t>。</w:t>
            </w:r>
          </w:p>
          <w:p/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、学生</w:t>
            </w:r>
            <w:r>
              <w:rPr>
                <w:rFonts w:hint="eastAsia"/>
                <w:sz w:val="24"/>
              </w:rPr>
              <w:t>认真听教师的讲解，了解游戏规则和要求。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、学生集体认真观察示范，能记住几种玩法。</w:t>
            </w:r>
          </w:p>
          <w:p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3、学生们分小组进行游戏，互相合作帮助。</w:t>
            </w:r>
          </w:p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pict>
                <v:shape id="_x0000_s1032" o:spid="_x0000_s1032" o:spt="3" type="#_x0000_t3" style="position:absolute;left:0pt;margin-left:14.65pt;margin-top:6.85pt;height:49.9pt;width:48pt;z-index:25165824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</w:t>
            </w: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pict>
                <v:shape id="_x0000_s1030" o:spid="_x0000_s1030" o:spt="5" type="#_x0000_t5" style="position:absolute;left:0pt;margin-left:35.9pt;margin-top:6.85pt;height:13.3pt;width:13.85pt;z-index:25165721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pict>
                <v:shape id="_x0000_s1033" o:spid="_x0000_s1033" o:spt="3" type="#_x0000_t3" style="position:absolute;left:0pt;margin-left:19.15pt;margin-top:0.15pt;height:46.2pt;width:43.35pt;z-index:25165824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ordWrap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1至2次</w:t>
            </w: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中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结束本分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1、放松整理。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2、总结。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3、宣布下课。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1、教师带领学生集体进行放松整理活动。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2、教师进行课堂总结，表扬鼓励学生。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3、教师与学生互相再见。</w:t>
            </w:r>
          </w:p>
          <w:p>
            <w:pPr>
              <w:rPr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1、学生集体进行放松整理活动。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2、学生们进行小组评价和自我评价。</w:t>
            </w:r>
          </w:p>
          <w:p>
            <w:r>
              <w:rPr>
                <w:rFonts w:hint="eastAsia"/>
                <w:sz w:val="24"/>
              </w:rPr>
              <w:t>3、学生们与教师互道再见。</w:t>
            </w:r>
          </w:p>
          <w:p>
            <w:pPr>
              <w:rPr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pict>
                <v:shape id="_x0000_s1035" o:spid="_x0000_s1035" o:spt="5" type="#_x0000_t5" style="position:absolute;left:0pt;margin-left:23.15pt;margin-top:13.75pt;height:7.15pt;width:10.5pt;z-index:25166131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课程资源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操场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安全措施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val="en-US" w:eastAsia="zh-CN"/>
              </w:rPr>
              <w:t>每个学生有一定的活动范围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练习密度预计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平均心率预计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课后反思</w:t>
            </w:r>
          </w:p>
        </w:tc>
        <w:tc>
          <w:tcPr>
            <w:tcW w:w="91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454FF"/>
    <w:multiLevelType w:val="multilevel"/>
    <w:tmpl w:val="45F454F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46CE"/>
    <w:rsid w:val="00000D1B"/>
    <w:rsid w:val="0003143B"/>
    <w:rsid w:val="0003610B"/>
    <w:rsid w:val="00151AC1"/>
    <w:rsid w:val="00183133"/>
    <w:rsid w:val="00213994"/>
    <w:rsid w:val="0029547E"/>
    <w:rsid w:val="002B5E9D"/>
    <w:rsid w:val="00340E7F"/>
    <w:rsid w:val="00367B59"/>
    <w:rsid w:val="005E155E"/>
    <w:rsid w:val="006735B0"/>
    <w:rsid w:val="00695FE0"/>
    <w:rsid w:val="00794A1C"/>
    <w:rsid w:val="00861CAF"/>
    <w:rsid w:val="00904484"/>
    <w:rsid w:val="00945058"/>
    <w:rsid w:val="009A2464"/>
    <w:rsid w:val="00AB291F"/>
    <w:rsid w:val="00AF6357"/>
    <w:rsid w:val="00B44894"/>
    <w:rsid w:val="00B816F9"/>
    <w:rsid w:val="00BB46CE"/>
    <w:rsid w:val="00BD5210"/>
    <w:rsid w:val="00C11517"/>
    <w:rsid w:val="00CE51F3"/>
    <w:rsid w:val="00D52998"/>
    <w:rsid w:val="00D8127A"/>
    <w:rsid w:val="00E15A70"/>
    <w:rsid w:val="00E9422B"/>
    <w:rsid w:val="00FC5956"/>
    <w:rsid w:val="2D65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32"/>
    <customShpInfo spid="_x0000_s1030"/>
    <customShpInfo spid="_x0000_s1033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495299-958B-42CF-8D71-60E9CFB59B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197</Words>
  <Characters>1126</Characters>
  <Lines>9</Lines>
  <Paragraphs>2</Paragraphs>
  <TotalTime>0</TotalTime>
  <ScaleCrop>false</ScaleCrop>
  <LinksUpToDate>false</LinksUpToDate>
  <CharactersWithSpaces>1321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2020-04-14T01:17:00Z</dcterms:created>
  <dc:creator>微软用户</dc:creator>
  <cp:lastModifiedBy>Administrator</cp:lastModifiedBy>
  <dcterms:modified xsi:type="dcterms:W3CDTF">2020-04-14T06:18:02Z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