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273" w:right="0" w:firstLine="0"/>
        <w:jc w:val="left"/>
        <w:rPr>
          <w:sz w:val="18"/>
        </w:rPr>
      </w:pPr>
      <w:r>
        <w:rPr>
          <w:color w:val="231F20"/>
          <w:sz w:val="18"/>
        </w:rPr>
        <w:t>第 2 期</w:t>
      </w:r>
    </w:p>
    <w:p>
      <w:pPr>
        <w:spacing w:before="59"/>
        <w:ind w:left="273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福 建 教 育 学 院 学 报</w:t>
      </w:r>
    </w:p>
    <w:p>
      <w:pPr>
        <w:spacing w:before="59"/>
        <w:ind w:left="273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NO.2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1910" w:h="16840"/>
          <w:pgMar w:footer="348" w:top="1140" w:bottom="540" w:left="900" w:right="820"/>
          <w:cols w:num="3" w:equalWidth="0">
            <w:col w:w="852" w:space="3034"/>
            <w:col w:w="2103" w:space="3098"/>
            <w:col w:w="1103"/>
          </w:cols>
        </w:sectPr>
      </w:pPr>
    </w:p>
    <w:p>
      <w:pPr>
        <w:tabs>
          <w:tab w:pos="3130" w:val="left" w:leader="none"/>
          <w:tab w:pos="8957" w:val="left" w:leader="none"/>
        </w:tabs>
        <w:spacing w:before="60"/>
        <w:ind w:left="116" w:right="0" w:firstLine="0"/>
        <w:jc w:val="left"/>
        <w:rPr>
          <w:sz w:val="18"/>
        </w:rPr>
      </w:pPr>
      <w:r>
        <w:rPr/>
        <w:pict>
          <v:shape style="position:absolute;margin-left:51.092068pt;margin-top:22.271021pt;width:493.25pt;height:.1pt;mso-position-horizontal-relative:page;mso-position-vertical-relative:paragraph;z-index:-251658240;mso-wrap-distance-left:0;mso-wrap-distance-right:0" coordorigin="1022,445" coordsize="9865,0" path="m1022,445l10886,445e" filled="false" stroked="true" strokeweight=".75pt" strokecolor="#231f20">
            <v:path arrowok="t"/>
            <v:stroke dashstyle="solid"/>
            <w10:wrap type="topAndBottom"/>
          </v:shape>
        </w:pict>
      </w:r>
      <w:r>
        <w:rPr>
          <w:color w:val="231F20"/>
          <w:sz w:val="18"/>
        </w:rPr>
        <w:t>2019 年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2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月</w:t>
        <w:tab/>
        <w:t>JOURNAL OF FUJIAN INSTITUTE</w:t>
      </w:r>
      <w:r>
        <w:rPr>
          <w:color w:val="231F20"/>
          <w:spacing w:val="-16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EDUCATION</w:t>
        <w:tab/>
        <w:t>February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2019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2"/>
        </w:rPr>
      </w:pPr>
    </w:p>
    <w:p>
      <w:pPr>
        <w:tabs>
          <w:tab w:pos="2868" w:val="left" w:leader="none"/>
        </w:tabs>
        <w:spacing w:before="57"/>
        <w:ind w:left="0" w:right="80" w:firstLine="0"/>
        <w:jc w:val="center"/>
        <w:rPr>
          <w:sz w:val="42"/>
        </w:rPr>
      </w:pPr>
      <w:r>
        <w:rPr>
          <w:color w:val="231F20"/>
          <w:sz w:val="42"/>
        </w:rPr>
        <w:t>研读单元导语</w:t>
        <w:tab/>
        <w:t>整合主题教学</w:t>
      </w:r>
    </w:p>
    <w:p>
      <w:pPr>
        <w:spacing w:before="105"/>
        <w:ind w:left="0" w:right="17" w:firstLine="0"/>
        <w:jc w:val="center"/>
        <w:rPr>
          <w:sz w:val="32"/>
        </w:rPr>
      </w:pPr>
      <w:r>
        <w:rPr>
          <w:color w:val="231F20"/>
          <w:sz w:val="32"/>
        </w:rPr>
        <w:t>—— 以部编教材小学语文三（上）教材为例</w:t>
      </w:r>
    </w:p>
    <w:p>
      <w:pPr>
        <w:spacing w:before="230"/>
        <w:ind w:left="0" w:right="78" w:firstLine="0"/>
        <w:jc w:val="center"/>
        <w:rPr>
          <w:sz w:val="28"/>
        </w:rPr>
      </w:pPr>
      <w:r>
        <w:rPr>
          <w:color w:val="231F20"/>
          <w:sz w:val="28"/>
        </w:rPr>
        <w:t>谢春红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140" w:bottom="540" w:left="900" w:right="820"/>
        </w:sectPr>
      </w:pPr>
    </w:p>
    <w:p>
      <w:pPr>
        <w:pStyle w:val="Heading1"/>
        <w:tabs>
          <w:tab w:pos="5967" w:val="left" w:leader="none"/>
        </w:tabs>
        <w:ind w:left="2607"/>
      </w:pPr>
      <w:r>
        <w:rPr>
          <w:color w:val="231F20"/>
        </w:rPr>
        <w:t>（龙岩市第二实验小学，福建</w:t>
        <w:tab/>
        <w:t>龙</w:t>
      </w:r>
      <w:r>
        <w:rPr>
          <w:color w:val="231F20"/>
          <w:spacing w:val="-20"/>
        </w:rPr>
        <w:t>岩</w:t>
      </w:r>
    </w:p>
    <w:p>
      <w:pPr>
        <w:spacing w:before="148"/>
        <w:ind w:left="199" w:right="0" w:firstLine="0"/>
        <w:jc w:val="left"/>
        <w:rPr>
          <w:rFonts w:ascii="仿宋" w:eastAsia="仿宋" w:hint="eastAsia"/>
          <w:sz w:val="24"/>
        </w:rPr>
      </w:pPr>
      <w:r>
        <w:rPr/>
        <w:br w:type="column"/>
      </w:r>
      <w:r>
        <w:rPr>
          <w:color w:val="231F20"/>
          <w:w w:val="105"/>
          <w:sz w:val="24"/>
        </w:rPr>
        <w:t>364000</w:t>
      </w:r>
      <w:r>
        <w:rPr>
          <w:rFonts w:ascii="仿宋" w:eastAsia="仿宋" w:hint="eastAsia"/>
          <w:color w:val="231F20"/>
          <w:w w:val="105"/>
          <w:sz w:val="24"/>
        </w:rPr>
        <w:t>）</w:t>
      </w:r>
    </w:p>
    <w:p>
      <w:pPr>
        <w:spacing w:after="0"/>
        <w:jc w:val="left"/>
        <w:rPr>
          <w:rFonts w:ascii="仿宋" w:eastAsia="仿宋" w:hint="eastAsia"/>
          <w:sz w:val="24"/>
        </w:rPr>
        <w:sectPr>
          <w:type w:val="continuous"/>
          <w:pgSz w:w="11910" w:h="16840"/>
          <w:pgMar w:top="1140" w:bottom="540" w:left="900" w:right="820"/>
          <w:cols w:num="2" w:equalWidth="0">
            <w:col w:w="6448" w:space="40"/>
            <w:col w:w="3702"/>
          </w:cols>
        </w:sectPr>
      </w:pPr>
    </w:p>
    <w:p>
      <w:pPr>
        <w:pStyle w:val="BodyText"/>
        <w:spacing w:before="7"/>
        <w:rPr>
          <w:rFonts w:ascii="仿宋"/>
          <w:sz w:val="11"/>
        </w:rPr>
      </w:pPr>
    </w:p>
    <w:p>
      <w:pPr>
        <w:pStyle w:val="BodyText"/>
        <w:tabs>
          <w:tab w:pos="853" w:val="left" w:leader="none"/>
        </w:tabs>
        <w:spacing w:before="78"/>
        <w:ind w:left="427"/>
      </w:pPr>
      <w:r>
        <w:rPr>
          <w:color w:val="231F20"/>
        </w:rPr>
        <w:t>摘</w:t>
        <w:tab/>
        <w:t>要</w:t>
      </w:r>
      <w:r>
        <w:rPr>
          <w:color w:val="231F20"/>
          <w:spacing w:val="-19"/>
        </w:rPr>
        <w:t>：</w:t>
      </w:r>
      <w:r>
        <w:rPr>
          <w:color w:val="231F20"/>
          <w:spacing w:val="8"/>
        </w:rPr>
        <w:t>小学语文部编教材以同一“主题”安排每组课文，每一单元前都有“导语”，提示本单元</w:t>
      </w:r>
      <w:r>
        <w:rPr>
          <w:color w:val="231F20"/>
        </w:rPr>
        <w:t>的</w:t>
      </w:r>
    </w:p>
    <w:p>
      <w:pPr>
        <w:pStyle w:val="BodyText"/>
        <w:spacing w:line="276" w:lineRule="auto" w:before="41"/>
        <w:ind w:left="120" w:right="199"/>
        <w:jc w:val="both"/>
      </w:pPr>
      <w:r>
        <w:rPr>
          <w:color w:val="231F20"/>
        </w:rPr>
        <w:t>“人文主题”“语文要素”。体现编者对这一组教材的整体设计意图，提示了本组学习重点、读写训练点，具有着统领全文、目标定位、学习导航等重要功能。研读“单元导语”，整合单元预习目标、整合单元习作训练、拓展单元主题阅读，能使教学更具整体性、完整性，能有效落实提高课堂效率。</w:t>
      </w:r>
    </w:p>
    <w:p>
      <w:pPr>
        <w:pStyle w:val="BodyText"/>
        <w:spacing w:before="6"/>
        <w:ind w:left="427"/>
      </w:pPr>
      <w:r>
        <w:rPr>
          <w:color w:val="231F20"/>
        </w:rPr>
        <w:t>关键词：单元导语；主题教学；整合；主题阅读</w:t>
      </w:r>
    </w:p>
    <w:p>
      <w:pPr>
        <w:spacing w:after="0"/>
        <w:sectPr>
          <w:type w:val="continuous"/>
          <w:pgSz w:w="11910" w:h="16840"/>
          <w:pgMar w:top="1140" w:bottom="540" w:left="900" w:right="820"/>
        </w:sectPr>
      </w:pPr>
    </w:p>
    <w:p>
      <w:pPr>
        <w:pStyle w:val="BodyText"/>
        <w:spacing w:before="47"/>
        <w:ind w:left="427"/>
      </w:pPr>
      <w:r>
        <w:rPr>
          <w:color w:val="231F20"/>
        </w:rPr>
        <w:t>中图分类号：G623.2</w:t>
      </w:r>
    </w:p>
    <w:p>
      <w:pPr>
        <w:pStyle w:val="BodyText"/>
        <w:spacing w:before="47"/>
        <w:ind w:left="427"/>
      </w:pPr>
      <w:r>
        <w:rPr/>
        <w:br w:type="column"/>
      </w:r>
      <w:r>
        <w:rPr>
          <w:color w:val="231F20"/>
        </w:rPr>
        <w:t>献标识码：A</w:t>
      </w:r>
    </w:p>
    <w:p>
      <w:pPr>
        <w:pStyle w:val="BodyText"/>
        <w:spacing w:before="45"/>
        <w:ind w:left="427"/>
      </w:pPr>
      <w:r>
        <w:rPr/>
        <w:br w:type="column"/>
      </w:r>
      <w:r>
        <w:rPr>
          <w:color w:val="231F20"/>
          <w:w w:val="105"/>
        </w:rPr>
        <w:t>文章编号：1673-9884（2019）02-0083-03</w:t>
      </w:r>
    </w:p>
    <w:p>
      <w:pPr>
        <w:spacing w:after="0"/>
        <w:sectPr>
          <w:type w:val="continuous"/>
          <w:pgSz w:w="11910" w:h="16840"/>
          <w:pgMar w:top="1140" w:bottom="540" w:left="900" w:right="820"/>
          <w:cols w:num="3" w:equalWidth="0">
            <w:col w:w="2335" w:space="756"/>
            <w:col w:w="1657" w:space="582"/>
            <w:col w:w="48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140" w:bottom="540" w:left="900" w:right="820"/>
        </w:sectPr>
      </w:pPr>
    </w:p>
    <w:p>
      <w:pPr>
        <w:pStyle w:val="BodyText"/>
        <w:spacing w:line="273" w:lineRule="auto" w:before="72"/>
        <w:ind w:left="119" w:right="38" w:firstLine="425"/>
        <w:jc w:val="both"/>
      </w:pPr>
      <w:r>
        <w:rPr>
          <w:color w:val="231F20"/>
        </w:rPr>
        <w:t>小学语文部编教材以不同“ 主题” 组织单元，在每个单元均设置“单元导语”，既提示了本单元的“人文主题”又明确了本单元的语文要素。它是编者对这一组教材的整体设计意图，提示了本组学习重点、读写训练点等，有着统领全文、目标定位、学习导航等重要功能。但不少教师忽略了单元导语， 教学时缺乏整体性和系统性、造成“花时多收效低”。那么，如何研读单元导语，将其与本单元课文及其他资源进行有机的整合，有效提高课堂效率？</w:t>
      </w:r>
    </w:p>
    <w:p>
      <w:pPr>
        <w:pStyle w:val="BodyText"/>
        <w:spacing w:before="12"/>
        <w:ind w:left="545"/>
      </w:pPr>
      <w:r>
        <w:rPr>
          <w:color w:val="231F20"/>
        </w:rPr>
        <w:t>一、因“导”而定，整合单元预习目标</w:t>
      </w:r>
    </w:p>
    <w:p>
      <w:pPr>
        <w:pStyle w:val="BodyText"/>
        <w:spacing w:line="273" w:lineRule="auto" w:before="42"/>
        <w:ind w:left="119" w:right="38" w:firstLine="425"/>
        <w:jc w:val="both"/>
      </w:pPr>
      <w:r>
        <w:rPr>
          <w:color w:val="231F20"/>
        </w:rPr>
        <w:t>预习是激发学生求知欲、促进自主学习，提高课堂教学质量的关键。目前，不少教师重视的是每篇课文的预习，而忽略了整个单元的整合预习， 学生对即将学习的单元整组课文缺乏系统性， 完整性。单元导语作为一组课文的“ 方向标”，它几乎覆盖了学习整组课文所需要达到的多重目标的要求，把它读透，就能准确把握教学方向。</w:t>
      </w:r>
      <w:r>
        <w:rPr>
          <w:color w:val="231F20"/>
          <w:position w:val="10"/>
          <w:sz w:val="10"/>
        </w:rPr>
        <w:t>[1]</w:t>
      </w:r>
      <w:r>
        <w:rPr>
          <w:color w:val="231F20"/>
        </w:rPr>
        <w:t>因此，我们要充分研读单元导语，精心设计单元预习目标。如：部编版三（上）第一单元的主题是“学校生活”，课前，为了让学生对整</w:t>
      </w:r>
    </w:p>
    <w:p>
      <w:pPr>
        <w:pStyle w:val="BodyText"/>
        <w:spacing w:line="273" w:lineRule="auto" w:before="72"/>
        <w:ind w:left="119" w:right="198"/>
        <w:jc w:val="both"/>
      </w:pPr>
      <w:r>
        <w:rPr/>
        <w:br w:type="column"/>
      </w:r>
      <w:r>
        <w:rPr>
          <w:color w:val="231F20"/>
        </w:rPr>
        <w:t>组教材有个整体的了解、认识，笔者对本组教材的预习进行了整合：1.认识生字新词，初知这组课文写什么；2. 初读本组课文，边读边想象画面， 画出有新鲜感的词句；3.积累优美的词句。通过以上整组课文预习的设计，学生就能初步感知，本单元写的都是校园生活，对整组课文较难的生字词有个印象。在第二、第三题的预习设计中，笔者根据导语， 巧妙地把本单元的重难点“ 阅读时，关注有新鲜感的词语和句子”“体会习作的乐趣”融入到预习中，为后面每篇课文的学习作了很好的铺垫。</w:t>
      </w:r>
    </w:p>
    <w:p>
      <w:pPr>
        <w:pStyle w:val="BodyText"/>
        <w:spacing w:line="273" w:lineRule="auto" w:before="13"/>
        <w:ind w:left="119" w:right="199" w:firstLine="425"/>
        <w:jc w:val="both"/>
      </w:pPr>
      <w:r>
        <w:rPr>
          <w:color w:val="231F20"/>
        </w:rPr>
        <w:t>单元导语在指导学生预习整组课文时意义非凡，部编教材中，虽然导语内容简略，但都蕴含着学习本单元要达到的要求和语文素养。我们可以在充分研读单元导语后，把整组课文的预习目标整合在一起，指导学生预习，就能有效地提高学生的自主学习能力。</w:t>
      </w:r>
    </w:p>
    <w:p>
      <w:pPr>
        <w:pStyle w:val="BodyText"/>
        <w:spacing w:before="7"/>
        <w:ind w:left="544"/>
      </w:pPr>
      <w:r>
        <w:rPr>
          <w:color w:val="231F20"/>
        </w:rPr>
        <w:t>二、依“导”而教，整合单元习作训练</w:t>
      </w:r>
    </w:p>
    <w:p>
      <w:pPr>
        <w:pStyle w:val="BodyText"/>
        <w:spacing w:line="273" w:lineRule="auto" w:before="43"/>
        <w:ind w:left="119" w:right="199" w:firstLine="425"/>
        <w:jc w:val="both"/>
      </w:pPr>
      <w:r>
        <w:rPr>
          <w:color w:val="231F20"/>
        </w:rPr>
        <w:t>《义务教育语文课程标准（2011年版）》指出：“语文课程致力于培养学生的语言文字运用能力，提升学生的综合素养。”</w:t>
      </w:r>
      <w:r>
        <w:rPr>
          <w:color w:val="231F20"/>
          <w:w w:val="91"/>
          <w:position w:val="10"/>
          <w:sz w:val="10"/>
        </w:rPr>
        <w:t>[</w:t>
      </w:r>
      <w:r>
        <w:rPr>
          <w:color w:val="231F20"/>
          <w:w w:val="110"/>
          <w:position w:val="10"/>
          <w:sz w:val="10"/>
        </w:rPr>
        <w:t>2</w:t>
      </w:r>
      <w:r>
        <w:rPr>
          <w:color w:val="231F20"/>
          <w:w w:val="91"/>
          <w:position w:val="10"/>
          <w:sz w:val="10"/>
        </w:rPr>
        <w:t>]</w:t>
      </w:r>
      <w:r>
        <w:rPr>
          <w:color w:val="231F20"/>
        </w:rPr>
        <w:t>所以语文教学要</w:t>
      </w:r>
    </w:p>
    <w:p>
      <w:pPr>
        <w:spacing w:after="0" w:line="273" w:lineRule="auto"/>
        <w:jc w:val="both"/>
        <w:sectPr>
          <w:type w:val="continuous"/>
          <w:pgSz w:w="11910" w:h="16840"/>
          <w:pgMar w:top="1140" w:bottom="540" w:left="900" w:right="820"/>
          <w:cols w:num="2" w:equalWidth="0">
            <w:col w:w="4864" w:space="298"/>
            <w:col w:w="5028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201.3pt;height:.75pt;mso-position-horizontal-relative:char;mso-position-vertical-relative:line" coordorigin="0,0" coordsize="4026,15">
            <v:line style="position:absolute" from="0,8" to="4025,8" stroked="true" strokeweight=".75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5"/>
        </w:rPr>
      </w:pPr>
    </w:p>
    <w:p>
      <w:pPr>
        <w:spacing w:before="83"/>
        <w:ind w:left="120" w:right="0" w:firstLine="0"/>
        <w:jc w:val="left"/>
        <w:rPr>
          <w:sz w:val="18"/>
        </w:rPr>
      </w:pPr>
      <w:r>
        <w:rPr>
          <w:color w:val="221F1F"/>
          <w:sz w:val="18"/>
        </w:rPr>
        <w:t>作者简介 ：谢春红，女，龙岩市第二实验小学高级教师。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140" w:bottom="540" w:left="900" w:right="820"/>
        </w:sectPr>
      </w:pPr>
    </w:p>
    <w:p>
      <w:pPr>
        <w:tabs>
          <w:tab w:pos="3516" w:val="left" w:leader="none"/>
          <w:tab w:pos="8879" w:val="left" w:leader="none"/>
        </w:tabs>
        <w:spacing w:before="64"/>
        <w:ind w:left="117" w:right="0" w:firstLine="0"/>
        <w:jc w:val="left"/>
        <w:rPr>
          <w:sz w:val="18"/>
        </w:rPr>
      </w:pPr>
      <w:r>
        <w:rPr/>
        <w:pict>
          <v:shape style="position:absolute;margin-left:51.144249pt;margin-top:22.418179pt;width:493.25pt;height:.1pt;mso-position-horizontal-relative:page;mso-position-vertical-relative:paragraph;z-index:-251656192;mso-wrap-distance-left:0;mso-wrap-distance-right:0" coordorigin="1023,448" coordsize="9865,0" path="m1023,448l10887,448e" filled="false" stroked="true" strokeweight=".75pt" strokecolor="#231f20">
            <v:path arrowok="t"/>
            <v:stroke dashstyle="solid"/>
            <w10:wrap type="topAndBottom"/>
          </v:shape>
        </w:pict>
      </w:r>
      <w:r>
        <w:rPr>
          <w:color w:val="231F20"/>
          <w:sz w:val="18"/>
        </w:rPr>
        <w:t>84</w:t>
        <w:tab/>
        <w:t>谢春红：研读单元导语 </w:t>
      </w:r>
      <w:r>
        <w:rPr>
          <w:color w:val="231F20"/>
          <w:spacing w:val="38"/>
          <w:sz w:val="18"/>
        </w:rPr>
        <w:t> </w:t>
      </w:r>
      <w:r>
        <w:rPr>
          <w:color w:val="231F20"/>
          <w:sz w:val="18"/>
        </w:rPr>
        <w:t>整合主题教学</w:t>
        <w:tab/>
        <w:t>2019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年第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2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期</w:t>
      </w:r>
    </w:p>
    <w:p>
      <w:pPr>
        <w:pStyle w:val="BodyText"/>
        <w:spacing w:before="11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348" w:top="1140" w:bottom="540" w:left="900" w:right="820"/>
        </w:sectPr>
      </w:pPr>
    </w:p>
    <w:p>
      <w:pPr>
        <w:pStyle w:val="BodyText"/>
        <w:spacing w:line="273" w:lineRule="auto" w:before="72"/>
        <w:ind w:left="117" w:right="38" w:firstLine="2"/>
        <w:jc w:val="both"/>
      </w:pPr>
      <w:r>
        <w:rPr>
          <w:color w:val="231F20"/>
        </w:rPr>
        <w:t>回归本位，指向语用。如何有效地训练语用呢？ 如果单篇课文孤立地训练，没有一个集中点，势必费时，训练点散乱，收效不大。那么，单元导语蕴含着本组的读写训练点，我们要充分研读， 找到单元语用训练点，根据学段特点，整合每篇课文的语用训练，方可达到有效。如：部编教材三（上）第五单元是第一次出现的习作单元，主题是“留心观察”。仔细研读“导语”，在篇章页中引用了法国艺术家罗丹的名言“生活中不缺乏美，只是缺乏发现美的眼睛”，使我们体会到留心观察的重要性。本单元的重点就是“体会作者是怎样留心观察事物的”，习作的要求是“仔细观察，把观察所得写下来”。围绕这一语用训练，笔者在教学《搭船的鸟》，重点完成两个任务：一是让学生明确作者对哪些事物作了仔细观察，并从文中哪里看出来。在第一自然段中，引导孩子们知道作者观察了“雨天船上的场景”第二、四自然段是观察了“翠鸟的外貌”“翠鸟捕鱼的动作”。体会作者留心观察周围事物。二是仔细研读描写“翠鸟的外貌”和“翠鸟捕鱼的动作”的段落，领悟表达方法。第二自然段，笔者让学生关注描写翠鸟颜色的词“翠绿”“蓝色” “红色”，体会作者对翠鸟美丽的外貌描写，并迁移这一写法，让学生学会用颜色的词描写动物的外貌；第四自然段，引导学生自读划出描写翠鸟捕鱼动作的词“冲”“飞”“衔”“站”，想想这些词写出了翠鸟捕鱼时什么特点，最后边读边想象翠鸟捕鱼动作敏捷的场景，并让学生用动作词描写某一场景，如：扫地、整理书包等。抓住这些语用训练点，引导学生体会作者观察的细致并进行语用训练。第一篇精读课文《搭船的鸟》重在引导学生体会表达上的特点，学习习作方法。第二篇精读课文《金色的草地》，重点让孩子们自读第三自然段，了解作者观察到的草地的变化情况及变化原因，进一步体会作者观察的细致。接着，在“交流平台”教学时，笔者把两篇精读课文整合在一起， 总结出作者是怎么留心、细心观察的。在“ 初试身手” 的两个样例中，笔者把这两篇样例与精读课文中描写的事物进行对比，让学生发现，精读课文中作者观察主要在“看”，而样例不仅用眼看，还用手摸、用鼻子闻、用嘴巴尝，在比较中得出细致观察的方</w:t>
      </w:r>
    </w:p>
    <w:p>
      <w:pPr>
        <w:pStyle w:val="BodyText"/>
        <w:spacing w:line="273" w:lineRule="auto" w:before="72"/>
        <w:ind w:left="119" w:right="199"/>
        <w:jc w:val="both"/>
      </w:pPr>
      <w:r>
        <w:rPr/>
        <w:br w:type="column"/>
      </w:r>
      <w:r>
        <w:rPr>
          <w:color w:val="231F20"/>
        </w:rPr>
        <w:t>法。习作例文《我家的小狗》《我爱故乡的杨梅》是很好的习作范文，一篇是写动物，一篇是写植物，借助课后题让学生自主读文，了解作者观察所得和观察的细致。最后，让学生进行单元习作“把最近观察时印象最深的一种事物或一处场景写下来”，呈现本单元的学习成果。</w:t>
      </w:r>
    </w:p>
    <w:p>
      <w:pPr>
        <w:pStyle w:val="BodyText"/>
        <w:spacing w:line="273" w:lineRule="auto" w:before="7"/>
        <w:ind w:left="119" w:right="199" w:firstLine="425"/>
        <w:jc w:val="both"/>
      </w:pPr>
      <w:r>
        <w:rPr>
          <w:color w:val="231F20"/>
        </w:rPr>
        <w:t>总之，我们要充分研读单元导语，着眼于单元全局，把“精读课文”和“交流平台”“初试身手” “ 习作例文” 各部分内容有机整合在一起，形成一个整体进行教学，切莫孤立其中一块内容。在精读课文中学表达方法，在交流平台中总结表达方法，在习作例文中进一步感悟、积累经验，最后习作展现语用训练成果，以实践语用课堂，调动学生的生活体验，激发学生的习作兴趣，有效进行习作训练。</w:t>
      </w:r>
    </w:p>
    <w:p>
      <w:pPr>
        <w:pStyle w:val="BodyText"/>
        <w:spacing w:before="11"/>
        <w:ind w:left="544"/>
      </w:pPr>
      <w:r>
        <w:rPr>
          <w:color w:val="231F20"/>
        </w:rPr>
        <w:t>三、顺“导”而伸，拓展单元主题阅读</w:t>
      </w:r>
    </w:p>
    <w:p>
      <w:pPr>
        <w:pStyle w:val="BodyText"/>
        <w:spacing w:line="273" w:lineRule="auto" w:before="42"/>
        <w:ind w:left="118" w:right="199" w:firstLine="425"/>
        <w:jc w:val="both"/>
      </w:pPr>
      <w:r>
        <w:rPr>
          <w:color w:val="231F20"/>
        </w:rPr>
        <w:t>单元导语不仅提示本单元课文内容的学习， 还引导学生积极向课外拓展延伸。“知之者，不如好之者”，当学生学完本组课文，对本组的内容、人物、情节等充满好奇时，趁“热”引导他们进行相关主题的课外阅读拓展，能起到事半功倍的阅读效果。</w:t>
      </w:r>
    </w:p>
    <w:p>
      <w:pPr>
        <w:pStyle w:val="BodyText"/>
        <w:spacing w:line="273" w:lineRule="auto" w:before="8"/>
        <w:ind w:left="118" w:right="200" w:firstLine="425"/>
        <w:jc w:val="both"/>
      </w:pPr>
      <w:r>
        <w:rPr>
          <w:color w:val="231F20"/>
          <w:spacing w:val="15"/>
        </w:rPr>
        <w:t>部编教材三（上）</w:t>
      </w:r>
      <w:r>
        <w:rPr>
          <w:color w:val="231F20"/>
          <w:spacing w:val="13"/>
        </w:rPr>
        <w:t>第三单元的主题是“童话世界”，在单元导语中，明确提出学习本单元的</w:t>
      </w:r>
      <w:r>
        <w:rPr>
          <w:color w:val="231F20"/>
          <w:spacing w:val="7"/>
        </w:rPr>
        <w:t>要求“ 感受童话丰富的想象” “ 试着自己编童</w:t>
      </w:r>
      <w:r>
        <w:rPr>
          <w:color w:val="231F20"/>
          <w:spacing w:val="13"/>
        </w:rPr>
        <w:t>话，写童话”，如何落实这两个语文要素呢？单</w:t>
      </w:r>
      <w:r>
        <w:rPr>
          <w:color w:val="231F20"/>
          <w:spacing w:val="17"/>
        </w:rPr>
        <w:t>元里安排了四篇童话， 两篇精读《去年的树》</w:t>
      </w:r>
    </w:p>
    <w:p>
      <w:pPr>
        <w:pStyle w:val="BodyText"/>
        <w:spacing w:line="273" w:lineRule="auto" w:before="6"/>
        <w:ind w:left="117" w:right="200"/>
        <w:jc w:val="both"/>
      </w:pPr>
      <w:r>
        <w:rPr>
          <w:color w:val="231F20"/>
          <w:spacing w:val="17"/>
        </w:rPr>
        <w:t>《在牛肚子里旅行》， 两篇略读《那一定会更</w:t>
      </w:r>
      <w:r>
        <w:rPr>
          <w:color w:val="231F20"/>
          <w:spacing w:val="13"/>
        </w:rPr>
        <w:t>好》《一块奶酪》。仅仅靠这四篇童话的学习要实现导语中的语文要素是不够的，唯有课后拓展</w:t>
      </w:r>
      <w:r>
        <w:rPr>
          <w:color w:val="231F20"/>
          <w:spacing w:val="8"/>
        </w:rPr>
        <w:t>单元主题“ 童话世界” ， 让学生大量去阅读童</w:t>
      </w:r>
      <w:r>
        <w:rPr>
          <w:color w:val="231F20"/>
          <w:spacing w:val="13"/>
        </w:rPr>
        <w:t>话，才能感悟到童话丰富的想象，才会编童话。因此，笔者在学生学完四篇童话，对童话有着余味无穷时，充分运用这一单元“语文园地”后面</w:t>
      </w:r>
      <w:r>
        <w:rPr>
          <w:color w:val="231F20"/>
          <w:spacing w:val="8"/>
        </w:rPr>
        <w:t>安排的“ 快乐读书吧” ， 拓展单元单元主题阅</w:t>
      </w:r>
      <w:r>
        <w:rPr>
          <w:color w:val="231F20"/>
          <w:spacing w:val="13"/>
        </w:rPr>
        <w:t>读。抓住提示中的两点“童话世界无奇不有。阅</w:t>
      </w:r>
      <w:r>
        <w:rPr>
          <w:color w:val="231F20"/>
          <w:spacing w:val="11"/>
        </w:rPr>
        <w:t>读时， 只有发挥想象， 才能真正领略童话的魅</w:t>
      </w:r>
      <w:r>
        <w:rPr>
          <w:color w:val="231F20"/>
          <w:spacing w:val="13"/>
        </w:rPr>
        <w:t>力”“我们可以把自己想象成童话中的主人公， 和童话中的人物一起欢笑，一起悲伤”，教给孩子们学习阅读童话的这两个方法，激发学生的兴趣，去阅读更多的童话，走进童话世界；并安排读书交流会，分享阅读童话的不同内容和感受。</w:t>
      </w:r>
    </w:p>
    <w:p>
      <w:pPr>
        <w:pStyle w:val="BodyText"/>
        <w:spacing w:before="6"/>
        <w:ind w:right="100"/>
        <w:jc w:val="right"/>
      </w:pPr>
      <w:r>
        <w:rPr>
          <w:color w:val="231F20"/>
        </w:rPr>
        <w:t>（下转第86页）</w:t>
      </w:r>
    </w:p>
    <w:p>
      <w:pPr>
        <w:spacing w:after="0"/>
        <w:jc w:val="right"/>
        <w:sectPr>
          <w:type w:val="continuous"/>
          <w:pgSz w:w="11910" w:h="16840"/>
          <w:pgMar w:top="1140" w:bottom="540" w:left="900" w:right="820"/>
          <w:cols w:num="2" w:equalWidth="0">
            <w:col w:w="4863" w:space="299"/>
            <w:col w:w="5028"/>
          </w:cols>
        </w:sectPr>
      </w:pPr>
    </w:p>
    <w:p>
      <w:pPr>
        <w:tabs>
          <w:tab w:pos="8879" w:val="left" w:leader="none"/>
        </w:tabs>
        <w:spacing w:before="62"/>
        <w:ind w:left="117" w:right="0" w:firstLine="0"/>
        <w:jc w:val="left"/>
        <w:rPr>
          <w:sz w:val="18"/>
        </w:rPr>
      </w:pPr>
      <w:r>
        <w:rPr/>
        <w:pict>
          <v:shape style="position:absolute;margin-left:51.144249pt;margin-top:22.370962pt;width:493.25pt;height:.1pt;mso-position-horizontal-relative:page;mso-position-vertical-relative:paragraph;z-index:-251655168;mso-wrap-distance-left:0;mso-wrap-distance-right:0" coordorigin="1023,447" coordsize="9865,0" path="m1023,447l10887,447e" filled="false" stroked="true" strokeweight=".75pt" strokecolor="#231f20">
            <v:path arrowok="t"/>
            <v:stroke dashstyle="solid"/>
            <w10:wrap type="topAndBottom"/>
          </v:shape>
        </w:pict>
      </w:r>
      <w:r>
        <w:rPr>
          <w:color w:val="231F20"/>
          <w:w w:val="105"/>
          <w:sz w:val="18"/>
        </w:rPr>
        <w:t>86</w:t>
        <w:tab/>
        <w:t>2019</w:t>
      </w:r>
      <w:r>
        <w:rPr>
          <w:color w:val="231F20"/>
          <w:spacing w:val="-5"/>
          <w:w w:val="105"/>
          <w:sz w:val="18"/>
        </w:rPr>
        <w:t> 年第 </w:t>
      </w:r>
      <w:r>
        <w:rPr>
          <w:color w:val="231F20"/>
          <w:w w:val="105"/>
          <w:sz w:val="18"/>
        </w:rPr>
        <w:t>2</w:t>
      </w:r>
      <w:r>
        <w:rPr>
          <w:color w:val="231F20"/>
          <w:spacing w:val="-4"/>
          <w:w w:val="105"/>
          <w:sz w:val="18"/>
        </w:rPr>
        <w:t> 期</w:t>
      </w:r>
    </w:p>
    <w:p>
      <w:pPr>
        <w:pStyle w:val="BodyText"/>
        <w:spacing w:before="11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348" w:top="1140" w:bottom="540" w:left="900" w:right="820"/>
        </w:sectPr>
      </w:pPr>
    </w:p>
    <w:p>
      <w:pPr>
        <w:pStyle w:val="BodyText"/>
        <w:spacing w:line="273" w:lineRule="auto" w:before="72"/>
        <w:ind w:left="120" w:right="38"/>
        <w:jc w:val="both"/>
      </w:pPr>
      <w:r>
        <w:rPr>
          <w:color w:val="231F20"/>
        </w:rPr>
        <w:t>发言主要有三种折法：有的把正方形平均分成4个小正方形，有的把正方形平均分成4个小长方形， 有的把正方形平均分成4个直角三角形。还有没有其他折法呢？几分钟后有一位学生一语惊人:“我折出了把正方形纸平均分成4个直角梯形啦！”这一小小的发现使同学们倍受鼓舞，大家又陆陆续续展示了与众不同的其他折法：不一定每个四分之一的图形形状都相同。这样，整个交互过程中满足学生的自尊和归属， 在共享性的学习活动中，学生成为了学习的小主人。</w:t>
      </w:r>
    </w:p>
    <w:p>
      <w:pPr>
        <w:pStyle w:val="BodyText"/>
        <w:spacing w:before="12"/>
        <w:ind w:left="545"/>
      </w:pPr>
      <w:r>
        <w:rPr>
          <w:color w:val="231F20"/>
        </w:rPr>
        <w:t>三、质疑问难，培养“问题意识”</w:t>
      </w:r>
    </w:p>
    <w:p>
      <w:pPr>
        <w:pStyle w:val="BodyText"/>
        <w:spacing w:line="273" w:lineRule="auto" w:before="42"/>
        <w:ind w:left="120" w:right="38" w:firstLine="425"/>
        <w:jc w:val="both"/>
        <w:rPr>
          <w:sz w:val="10"/>
        </w:rPr>
      </w:pPr>
      <w:r>
        <w:rPr>
          <w:color w:val="231F20"/>
        </w:rPr>
        <w:t>“学习共同体”的突破口是探索知识、发现问题的开始。质疑思维过程中的知识整合，可以实现创新性学习的飞跃。提出问题的关键是对事物本质现象的分析，提炼自己的思想观点，把握全方位的思维风格，培养学生的“问题意识”。引导学生在认识数学规律的基础上，善于创新和实践，提高主体参与意识。</w:t>
      </w:r>
      <w:r>
        <w:rPr>
          <w:color w:val="231F20"/>
          <w:position w:val="10"/>
          <w:sz w:val="10"/>
        </w:rPr>
        <w:t>[3]</w:t>
      </w:r>
    </w:p>
    <w:p>
      <w:pPr>
        <w:pStyle w:val="BodyText"/>
        <w:spacing w:line="273" w:lineRule="auto" w:before="9"/>
        <w:ind w:left="119" w:right="38" w:firstLine="425"/>
        <w:jc w:val="both"/>
      </w:pPr>
      <w:r>
        <w:rPr>
          <w:color w:val="231F20"/>
          <w:spacing w:val="13"/>
        </w:rPr>
        <w:t>例如： 在学习了“ 长方体的表面积计算” 后，教师出示一道思考题：李叔叔买了四盒同样</w:t>
      </w:r>
      <w:r>
        <w:rPr>
          <w:color w:val="231F20"/>
          <w:spacing w:val="11"/>
        </w:rPr>
        <w:t>的长方形的礼品，长、宽、高分别为</w:t>
      </w:r>
      <w:r>
        <w:rPr>
          <w:color w:val="231F20"/>
          <w:spacing w:val="2"/>
        </w:rPr>
        <w:t>4cm</w:t>
      </w:r>
      <w:r>
        <w:rPr>
          <w:color w:val="231F20"/>
          <w:spacing w:val="8"/>
        </w:rPr>
        <w:t>、</w:t>
      </w:r>
      <w:r>
        <w:rPr>
          <w:color w:val="231F20"/>
          <w:spacing w:val="2"/>
        </w:rPr>
        <w:t>3cm</w:t>
      </w:r>
      <w:r>
        <w:rPr>
          <w:color w:val="231F20"/>
        </w:rPr>
        <w:t>、</w:t>
      </w:r>
      <w:r>
        <w:rPr>
          <w:color w:val="231F20"/>
          <w:spacing w:val="2"/>
        </w:rPr>
        <w:t>2cm</w:t>
      </w:r>
      <w:r>
        <w:rPr>
          <w:color w:val="231F20"/>
          <w:spacing w:val="6"/>
        </w:rPr>
        <w:t>。请你帮李叔叔设计把它们包装成一个大长方</w:t>
      </w:r>
      <w:r>
        <w:rPr>
          <w:color w:val="231F20"/>
          <w:spacing w:val="13"/>
        </w:rPr>
        <w:t>体并使包装表面积最小，表面积最小是多少？先让学生交流“两根相同的长方体木块怎么摆放， 才能使表面积最小？”学生通过比较、计算表面积，容易得出：先找出长方体木块的一个最大面</w:t>
      </w:r>
    </w:p>
    <w:p>
      <w:pPr>
        <w:pStyle w:val="BodyText"/>
        <w:spacing w:line="273" w:lineRule="auto" w:before="10"/>
        <w:ind w:left="119" w:right="39"/>
        <w:jc w:val="both"/>
      </w:pPr>
      <w:r>
        <w:rPr>
          <w:color w:val="231F20"/>
          <w:spacing w:val="14"/>
          <w:w w:val="105"/>
        </w:rPr>
        <w:t>（尝试计算长</w:t>
      </w:r>
      <w:r>
        <w:rPr>
          <w:color w:val="231F20"/>
          <w:spacing w:val="14"/>
          <w:w w:val="140"/>
        </w:rPr>
        <w:t>×</w:t>
      </w:r>
      <w:r>
        <w:rPr>
          <w:color w:val="231F20"/>
          <w:spacing w:val="14"/>
          <w:w w:val="105"/>
        </w:rPr>
        <w:t>宽、长</w:t>
      </w:r>
      <w:r>
        <w:rPr>
          <w:color w:val="231F20"/>
          <w:spacing w:val="14"/>
          <w:w w:val="140"/>
        </w:rPr>
        <w:t>×</w:t>
      </w:r>
      <w:r>
        <w:rPr>
          <w:color w:val="231F20"/>
          <w:spacing w:val="14"/>
          <w:w w:val="105"/>
        </w:rPr>
        <w:t>高、高</w:t>
      </w:r>
      <w:r>
        <w:rPr>
          <w:color w:val="231F20"/>
          <w:spacing w:val="14"/>
          <w:w w:val="140"/>
        </w:rPr>
        <w:t>×</w:t>
      </w:r>
      <w:r>
        <w:rPr>
          <w:color w:val="231F20"/>
          <w:spacing w:val="14"/>
          <w:w w:val="105"/>
        </w:rPr>
        <w:t>宽或目测</w:t>
      </w:r>
      <w:r>
        <w:rPr>
          <w:color w:val="231F20"/>
          <w:spacing w:val="7"/>
          <w:w w:val="105"/>
        </w:rPr>
        <w:t>）， </w:t>
      </w:r>
      <w:r>
        <w:rPr>
          <w:color w:val="231F20"/>
          <w:spacing w:val="13"/>
        </w:rPr>
        <w:t>把两根长方体木块的最大面重叠摆放，这时的表</w:t>
      </w:r>
      <w:r>
        <w:rPr>
          <w:color w:val="231F20"/>
          <w:spacing w:val="8"/>
        </w:rPr>
        <w:t>面积最小。研究</w:t>
      </w:r>
      <w:r>
        <w:rPr>
          <w:color w:val="231F20"/>
        </w:rPr>
        <w:t>4</w:t>
      </w:r>
      <w:r>
        <w:rPr>
          <w:color w:val="231F20"/>
          <w:spacing w:val="8"/>
        </w:rPr>
        <w:t>盒相同的长方体礼品包装时，达</w:t>
      </w:r>
      <w:r>
        <w:rPr>
          <w:color w:val="231F20"/>
          <w:spacing w:val="13"/>
        </w:rPr>
        <w:t>成共识：要最后表面积最小，就要尽量将面积最大的面重合。这样，学生在共同建构知识、分享</w:t>
      </w:r>
    </w:p>
    <w:p>
      <w:pPr>
        <w:pStyle w:val="BodyText"/>
        <w:spacing w:line="273" w:lineRule="auto" w:before="72"/>
        <w:ind w:left="120" w:right="198"/>
      </w:pPr>
      <w:r>
        <w:rPr/>
        <w:br w:type="column"/>
      </w:r>
      <w:r>
        <w:rPr>
          <w:color w:val="231F20"/>
        </w:rPr>
        <w:t>知识的过程中，开展小组合作学习活动，培养了一定的创新精神和实践能力。</w:t>
      </w:r>
    </w:p>
    <w:p>
      <w:pPr>
        <w:pStyle w:val="BodyText"/>
        <w:spacing w:before="2"/>
        <w:ind w:left="546"/>
      </w:pPr>
      <w:r>
        <w:rPr>
          <w:color w:val="231F20"/>
        </w:rPr>
        <w:t>四、应用实践，促进能力发展</w:t>
      </w:r>
    </w:p>
    <w:p>
      <w:pPr>
        <w:pStyle w:val="BodyText"/>
        <w:spacing w:line="273" w:lineRule="auto" w:before="43"/>
        <w:ind w:left="120" w:right="198" w:firstLine="425"/>
        <w:jc w:val="both"/>
        <w:rPr>
          <w:sz w:val="10"/>
        </w:rPr>
      </w:pPr>
      <w:r>
        <w:rPr>
          <w:color w:val="231F20"/>
        </w:rPr>
        <w:t>数学来源于生活，服务于生活。以应用实践为核心，以能力发展作目标是有效发挥数学“学习共同体”作用的重要途径。紧密结合学生的外部操作活动与内部的数学思维学以致用，不但充分发挥了“学习共同体”的动力作用，而且回归学科的本质特征，拓展了核心素养的培养空间。</w:t>
      </w:r>
      <w:r>
        <w:rPr>
          <w:color w:val="231F20"/>
          <w:position w:val="10"/>
          <w:sz w:val="10"/>
        </w:rPr>
        <w:t>[4]</w:t>
      </w:r>
    </w:p>
    <w:p>
      <w:pPr>
        <w:pStyle w:val="BodyText"/>
        <w:spacing w:line="273" w:lineRule="auto" w:before="7"/>
        <w:ind w:left="120" w:right="198" w:firstLine="425"/>
        <w:jc w:val="both"/>
      </w:pPr>
      <w:r>
        <w:rPr>
          <w:color w:val="231F20"/>
          <w:spacing w:val="14"/>
        </w:rPr>
        <w:t>例如学习“乘法口诀”时，教师把学生天天</w:t>
      </w:r>
      <w:r>
        <w:rPr>
          <w:color w:val="231F20"/>
          <w:spacing w:val="13"/>
        </w:rPr>
        <w:t>喝的牛奶作为教具进行教学，设置数学情境，引导学生探讨牛奶的单价、总价等数量关系，让学</w:t>
      </w:r>
      <w:r>
        <w:rPr>
          <w:color w:val="231F20"/>
          <w:spacing w:val="3"/>
        </w:rPr>
        <w:t>生在学习共同体的精彩碰撞中体验数学的魅力。</w:t>
      </w:r>
    </w:p>
    <w:p>
      <w:pPr>
        <w:pStyle w:val="BodyText"/>
        <w:spacing w:line="273" w:lineRule="auto" w:before="5"/>
        <w:ind w:left="119" w:right="198" w:firstLine="425"/>
        <w:jc w:val="both"/>
      </w:pPr>
      <w:r>
        <w:rPr>
          <w:color w:val="231F20"/>
          <w:spacing w:val="14"/>
        </w:rPr>
        <w:t>综上所述，学习者是知识的建构者，提高自</w:t>
      </w:r>
      <w:r>
        <w:rPr>
          <w:color w:val="231F20"/>
          <w:spacing w:val="13"/>
        </w:rPr>
        <w:t>我效能感可以通过社会实践、实验操作等形式， </w:t>
      </w:r>
      <w:r>
        <w:rPr>
          <w:color w:val="231F20"/>
          <w:spacing w:val="19"/>
        </w:rPr>
        <w:t>搜集、整理和反馈数学信息， 体验到彼此的接</w:t>
      </w:r>
      <w:r>
        <w:rPr>
          <w:color w:val="231F20"/>
          <w:spacing w:val="13"/>
        </w:rPr>
        <w:t>纳，运用数学知识解决实际问题。教师需要关注学生可持续协调发展，实施激励创新和实践的动</w:t>
      </w:r>
      <w:r>
        <w:rPr>
          <w:color w:val="231F20"/>
          <w:spacing w:val="11"/>
        </w:rPr>
        <w:t>态评价， 探索出一套有效发挥数学“ 学习共同</w:t>
      </w:r>
      <w:r>
        <w:rPr>
          <w:color w:val="231F20"/>
          <w:spacing w:val="3"/>
        </w:rPr>
        <w:t>体”的作用，培养小学生核心素养的操作体系。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544"/>
      </w:pPr>
      <w:r>
        <w:rPr>
          <w:color w:val="231F20"/>
        </w:rPr>
        <w:t>参考文献：</w:t>
      </w:r>
    </w:p>
    <w:p>
      <w:pPr>
        <w:pStyle w:val="BodyText"/>
        <w:spacing w:before="42"/>
        <w:ind w:left="544"/>
      </w:pPr>
      <w:r>
        <w:rPr>
          <w:color w:val="231F20"/>
        </w:rPr>
        <w:t>［1］ 魏红.小学数学共同体课堂建设的研究</w:t>
      </w:r>
    </w:p>
    <w:p>
      <w:pPr>
        <w:pStyle w:val="BodyText"/>
        <w:spacing w:before="42"/>
        <w:ind w:left="119"/>
      </w:pPr>
      <w:r>
        <w:rPr>
          <w:color w:val="231F20"/>
        </w:rPr>
        <w:t>［J］.时代教育，2016（12）.</w:t>
      </w:r>
    </w:p>
    <w:p>
      <w:pPr>
        <w:pStyle w:val="BodyText"/>
        <w:spacing w:line="273" w:lineRule="auto" w:before="43"/>
        <w:ind w:left="119" w:right="199" w:firstLine="425"/>
      </w:pPr>
      <w:r>
        <w:rPr>
          <w:color w:val="231F20"/>
        </w:rPr>
        <w:t>［2］黄振华.关于小学数学学习共同体建设的思考［J］.内蒙古教育，2018（5）.</w:t>
      </w:r>
    </w:p>
    <w:p>
      <w:pPr>
        <w:pStyle w:val="BodyText"/>
        <w:spacing w:line="273" w:lineRule="auto" w:before="2"/>
        <w:ind w:left="119" w:right="199" w:firstLine="425"/>
        <w:jc w:val="both"/>
      </w:pPr>
      <w:r>
        <w:rPr>
          <w:color w:val="231F20"/>
        </w:rPr>
        <w:t>［3］单薇洁.浅谈小学数学课堂教学中“学生学习共同体” 的建设［ J］ .数学学习与研究， 2015（5）.</w:t>
      </w:r>
    </w:p>
    <w:p>
      <w:pPr>
        <w:pStyle w:val="BodyText"/>
        <w:spacing w:line="273" w:lineRule="auto" w:before="4"/>
        <w:ind w:left="119" w:right="199" w:firstLine="425"/>
      </w:pPr>
      <w:r>
        <w:rPr>
          <w:color w:val="231F20"/>
        </w:rPr>
        <w:t>［4］龙叶.对构建数学课堂学习共同体的几点思考［J］.教师，2018（2）.</w:t>
      </w:r>
    </w:p>
    <w:p>
      <w:pPr>
        <w:spacing w:after="0" w:line="273" w:lineRule="auto"/>
        <w:sectPr>
          <w:type w:val="continuous"/>
          <w:pgSz w:w="11910" w:h="16840"/>
          <w:pgMar w:top="1140" w:bottom="540" w:left="900" w:right="820"/>
          <w:cols w:num="2" w:equalWidth="0">
            <w:col w:w="4864" w:space="298"/>
            <w:col w:w="5028"/>
          </w:cols>
        </w:sectPr>
      </w:pP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2.65pt;height:.75pt;mso-position-horizontal-relative:char;mso-position-vertical-relative:line" coordorigin="0,0" coordsize="9853,15">
            <v:line style="position:absolute" from="0,7" to="9853,7" stroked="true" strokeweight=".709pt" strokecolor="#231f20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1910" w:h="16840"/>
      <w:pgMar w:top="1140" w:bottom="540" w:left="9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仿宋">
    <w:altName w:val="仿宋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26144">
          <wp:simplePos x="0" y="0"/>
          <wp:positionH relativeFrom="page">
            <wp:posOffset>259079</wp:posOffset>
          </wp:positionH>
          <wp:positionV relativeFrom="page">
            <wp:posOffset>10344022</wp:posOffset>
          </wp:positionV>
          <wp:extent cx="3738880" cy="12318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88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18.200012pt;margin-top:814.48999pt;width:81.1pt;height:9.7pt;mso-position-horizontal-relative:page;mso-position-vertical-relative:page;z-index:-251789312" coordorigin="6364,16290" coordsize="1622,194">
          <v:shape style="position:absolute;left:6364;top:16289;width:1584;height:194" type="#_x0000_t75" stroked="false">
            <v:imagedata r:id="rId2" o:title=""/>
          </v:shape>
          <v:shape style="position:absolute;left:7962;top:16415;width:24;height:24" coordorigin="7962,16416" coordsize="24,24" path="m7978,16416l7962,16432,7964,16434,7966,16438,7968,16440,7980,16440,7984,16438,7986,16434,7986,16422,7984,16420,7980,16418,7978,16416xe" filled="true" fillcolor="#b2b2b2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251528192">
          <wp:simplePos x="0" y="0"/>
          <wp:positionH relativeFrom="page">
            <wp:posOffset>5215890</wp:posOffset>
          </wp:positionH>
          <wp:positionV relativeFrom="page">
            <wp:posOffset>10344022</wp:posOffset>
          </wp:positionV>
          <wp:extent cx="1082039" cy="123189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PMingLiU" w:hAnsi="PMingLiU" w:eastAsia="PMingLiU" w:cs="PMingLiU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148"/>
      <w:ind w:left="199"/>
      <w:outlineLvl w:val="1"/>
    </w:pPr>
    <w:rPr>
      <w:rFonts w:ascii="仿宋" w:hAnsi="仿宋" w:eastAsia="仿宋" w:cs="仿宋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2019-12-25T06:52:23Z</dcterms:created>
  <dcterms:modified xsi:type="dcterms:W3CDTF">2019-12-25T06:52:23Z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ReaderEx_DIS 2.1.0 Build 3966</vt:lpwstr>
  </property>
  <property fmtid="{D5CDD505-2E9C-101B-9397-08002B2CF9AE}" pid="4" name="LastSaved">
    <vt:filetime>2019-12-25T00:00:00Z</vt:filetime>
  </property>
</Properties>
</file>