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34" w:rsidRDefault="008D4E8D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物质在水中的分散</w:t>
      </w:r>
      <w:r w:rsidR="0002490C">
        <w:rPr>
          <w:rFonts w:hint="eastAsia"/>
          <w:b/>
          <w:bCs/>
          <w:sz w:val="28"/>
          <w:szCs w:val="28"/>
        </w:rPr>
        <w:t>（教案）</w:t>
      </w:r>
    </w:p>
    <w:p w:rsidR="00D52E34" w:rsidRDefault="008D4E8D">
      <w:pPr>
        <w:jc w:val="center"/>
      </w:pPr>
      <w:r>
        <w:rPr>
          <w:rFonts w:hint="eastAsia"/>
        </w:rPr>
        <w:t>西夏墅</w:t>
      </w:r>
      <w:r w:rsidR="0002490C">
        <w:rPr>
          <w:rFonts w:hint="eastAsia"/>
        </w:rPr>
        <w:t>中学</w:t>
      </w:r>
      <w:r w:rsidR="0002490C">
        <w:rPr>
          <w:rFonts w:hint="eastAsia"/>
        </w:rPr>
        <w:t xml:space="preserve">  </w:t>
      </w:r>
      <w:r>
        <w:rPr>
          <w:rFonts w:hint="eastAsia"/>
        </w:rPr>
        <w:t>商兰芬</w:t>
      </w:r>
    </w:p>
    <w:p w:rsidR="00D52E34" w:rsidRDefault="0002490C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教学目标：</w:t>
      </w:r>
    </w:p>
    <w:p w:rsidR="00C72EC8" w:rsidRDefault="00C72EC8" w:rsidP="00C72EC8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通过对未知白色固体的探究，掌握物质溶于水时的能量变化；结合溶解的微观过程，理解溶液导电的原因。</w:t>
      </w:r>
    </w:p>
    <w:p w:rsidR="00C72EC8" w:rsidRDefault="00C72EC8" w:rsidP="00C72EC8">
      <w:pPr>
        <w:ind w:left="315" w:hangingChars="150" w:hanging="315"/>
      </w:pPr>
      <w:r>
        <w:rPr>
          <w:rFonts w:hint="eastAsia"/>
        </w:rPr>
        <w:t>2</w:t>
      </w:r>
      <w:r w:rsidR="00AA7288">
        <w:rPr>
          <w:rFonts w:hint="eastAsia"/>
        </w:rPr>
        <w:t>、通过交流讨论、合作学习、实验探究，引导学生进行辩证思考</w:t>
      </w:r>
      <w:r>
        <w:rPr>
          <w:rFonts w:hint="eastAsia"/>
        </w:rPr>
        <w:t>，学会对比分析，体验科学探究的一般过程。</w:t>
      </w:r>
    </w:p>
    <w:p w:rsidR="00D52E34" w:rsidRDefault="00C72EC8">
      <w:r>
        <w:rPr>
          <w:rFonts w:hint="eastAsia"/>
        </w:rPr>
        <w:t>3</w:t>
      </w:r>
      <w:r>
        <w:rPr>
          <w:rFonts w:hint="eastAsia"/>
        </w:rPr>
        <w:t>、通过对物质</w:t>
      </w:r>
      <w:r w:rsidR="008B2CA8">
        <w:rPr>
          <w:rFonts w:hint="eastAsia"/>
        </w:rPr>
        <w:t>用途、材料情境的真实展示</w:t>
      </w:r>
      <w:r w:rsidR="00A22DD9">
        <w:rPr>
          <w:rFonts w:hint="eastAsia"/>
        </w:rPr>
        <w:t>，体会化学来源于生活又服务于人类生活。</w:t>
      </w:r>
    </w:p>
    <w:tbl>
      <w:tblPr>
        <w:tblStyle w:val="a3"/>
        <w:tblW w:w="8522" w:type="dxa"/>
        <w:tblLayout w:type="fixed"/>
        <w:tblLook w:val="04A0"/>
      </w:tblPr>
      <w:tblGrid>
        <w:gridCol w:w="1101"/>
        <w:gridCol w:w="3514"/>
        <w:gridCol w:w="2533"/>
        <w:gridCol w:w="1374"/>
      </w:tblGrid>
      <w:tr w:rsidR="00D52E34" w:rsidTr="00A22DD9">
        <w:tc>
          <w:tcPr>
            <w:tcW w:w="1101" w:type="dxa"/>
          </w:tcPr>
          <w:p w:rsidR="00D52E34" w:rsidRDefault="0002490C">
            <w:r>
              <w:rPr>
                <w:rFonts w:hint="eastAsia"/>
              </w:rPr>
              <w:t>板块</w:t>
            </w:r>
          </w:p>
        </w:tc>
        <w:tc>
          <w:tcPr>
            <w:tcW w:w="3514" w:type="dxa"/>
          </w:tcPr>
          <w:p w:rsidR="00D52E34" w:rsidRDefault="0002490C">
            <w:r>
              <w:rPr>
                <w:rFonts w:hint="eastAsia"/>
                <w:szCs w:val="21"/>
              </w:rPr>
              <w:t>展开教学的问题串设计</w:t>
            </w:r>
          </w:p>
        </w:tc>
        <w:tc>
          <w:tcPr>
            <w:tcW w:w="2533" w:type="dxa"/>
          </w:tcPr>
          <w:p w:rsidR="00D52E34" w:rsidRDefault="0002490C">
            <w:r>
              <w:rPr>
                <w:rFonts w:hint="eastAsia"/>
                <w:szCs w:val="21"/>
              </w:rPr>
              <w:t>学生活动串设计</w:t>
            </w:r>
          </w:p>
        </w:tc>
        <w:tc>
          <w:tcPr>
            <w:tcW w:w="1374" w:type="dxa"/>
          </w:tcPr>
          <w:p w:rsidR="00D52E34" w:rsidRDefault="000249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目标达成</w:t>
            </w:r>
          </w:p>
          <w:p w:rsidR="00D52E34" w:rsidRDefault="0002490C">
            <w:r>
              <w:rPr>
                <w:rFonts w:hint="eastAsia"/>
                <w:szCs w:val="21"/>
              </w:rPr>
              <w:t>反馈串设计</w:t>
            </w:r>
          </w:p>
        </w:tc>
      </w:tr>
      <w:tr w:rsidR="00D52E34" w:rsidTr="00A22DD9">
        <w:tc>
          <w:tcPr>
            <w:tcW w:w="1101" w:type="dxa"/>
          </w:tcPr>
          <w:p w:rsidR="00D52E34" w:rsidRDefault="0002490C">
            <w:r>
              <w:rPr>
                <w:rFonts w:hint="eastAsia"/>
                <w:szCs w:val="21"/>
              </w:rPr>
              <w:t>板块一：</w:t>
            </w:r>
            <w:r w:rsidR="00A22DD9">
              <w:rPr>
                <w:rFonts w:hint="eastAsia"/>
                <w:szCs w:val="21"/>
              </w:rPr>
              <w:t>物质溶解过程中的能量变化</w:t>
            </w:r>
          </w:p>
        </w:tc>
        <w:tc>
          <w:tcPr>
            <w:tcW w:w="3514" w:type="dxa"/>
          </w:tcPr>
          <w:p w:rsidR="00A22DD9" w:rsidRPr="00A22DD9" w:rsidRDefault="0002490C" w:rsidP="00A22DD9">
            <w:pPr>
              <w:ind w:leftChars="-30" w:left="78" w:hangingChars="67" w:hanging="141"/>
              <w:rPr>
                <w:szCs w:val="21"/>
              </w:rPr>
            </w:pPr>
            <w:r>
              <w:rPr>
                <w:rFonts w:hint="eastAsia"/>
                <w:szCs w:val="21"/>
              </w:rPr>
              <w:t>引入：</w:t>
            </w:r>
            <w:r w:rsidR="00A22DD9" w:rsidRPr="00A22DD9">
              <w:rPr>
                <w:rFonts w:hint="eastAsia"/>
                <w:szCs w:val="21"/>
              </w:rPr>
              <w:t>老师前两天在实验室不小心扭到了脚，脚踝立马就变得又红又肿，你们知道怎样急救吗？</w:t>
            </w:r>
          </w:p>
          <w:p w:rsidR="002D62D3" w:rsidRDefault="002D62D3" w:rsidP="00A22DD9">
            <w:pPr>
              <w:ind w:leftChars="-30" w:left="78" w:hangingChars="67" w:hanging="141"/>
              <w:rPr>
                <w:szCs w:val="21"/>
              </w:rPr>
            </w:pPr>
          </w:p>
          <w:p w:rsidR="00A22DD9" w:rsidRDefault="00A22DD9" w:rsidP="00A22DD9">
            <w:pPr>
              <w:ind w:leftChars="-30" w:left="78" w:hangingChars="67" w:hanging="141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展示</w:t>
            </w:r>
            <w:r w:rsidR="0002490C">
              <w:rPr>
                <w:rFonts w:hint="eastAsia"/>
                <w:szCs w:val="21"/>
              </w:rPr>
              <w:t>：</w:t>
            </w:r>
            <w:r w:rsidRPr="00A22DD9">
              <w:rPr>
                <w:rFonts w:hint="eastAsia"/>
                <w:bCs/>
                <w:szCs w:val="21"/>
              </w:rPr>
              <w:t>一种白色固体，取一些放在塑料袋里，并往袋子里加了些水，</w:t>
            </w:r>
            <w:r w:rsidR="00DE110D">
              <w:rPr>
                <w:rFonts w:hint="eastAsia"/>
                <w:bCs/>
                <w:szCs w:val="21"/>
              </w:rPr>
              <w:t>扎好袋口。</w:t>
            </w:r>
            <w:r>
              <w:rPr>
                <w:rFonts w:hint="eastAsia"/>
                <w:bCs/>
                <w:szCs w:val="21"/>
              </w:rPr>
              <w:t>让学生</w:t>
            </w:r>
            <w:r w:rsidR="00DE110D">
              <w:rPr>
                <w:rFonts w:hint="eastAsia"/>
                <w:bCs/>
                <w:szCs w:val="21"/>
              </w:rPr>
              <w:t>感受温度的变化。</w:t>
            </w:r>
          </w:p>
          <w:p w:rsidR="002D62D3" w:rsidRDefault="002D62D3" w:rsidP="00DE110D">
            <w:pPr>
              <w:ind w:leftChars="-30" w:left="78" w:hangingChars="67" w:hanging="141"/>
              <w:rPr>
                <w:bCs/>
                <w:szCs w:val="21"/>
              </w:rPr>
            </w:pPr>
          </w:p>
          <w:p w:rsidR="00DE110D" w:rsidRPr="00DE110D" w:rsidRDefault="00DE110D" w:rsidP="00DE110D">
            <w:pPr>
              <w:ind w:leftChars="-30" w:left="78" w:hangingChars="67" w:hanging="14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问题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：用这个袋子敷伤处，也达到了消肿的效果。你们知道是什么原因吗？</w:t>
            </w:r>
            <w:r w:rsidRPr="00DE110D">
              <w:rPr>
                <w:rFonts w:hint="eastAsia"/>
                <w:bCs/>
                <w:szCs w:val="21"/>
              </w:rPr>
              <w:t>如果老师告诉你这种白色固体是硝酸铵、</w:t>
            </w:r>
            <w:r w:rsidRPr="00DE110D">
              <w:rPr>
                <w:bCs/>
                <w:szCs w:val="21"/>
              </w:rPr>
              <w:t xml:space="preserve"> </w:t>
            </w:r>
            <w:r w:rsidRPr="00DE110D">
              <w:rPr>
                <w:rFonts w:hint="eastAsia"/>
                <w:bCs/>
                <w:szCs w:val="21"/>
              </w:rPr>
              <w:t>氯化钠和氢氧化钠中的一种，你有办法找出正确的那种物质吗？</w:t>
            </w:r>
          </w:p>
          <w:p w:rsidR="002D62D3" w:rsidRDefault="002D62D3" w:rsidP="00DE110D">
            <w:pPr>
              <w:ind w:leftChars="-30" w:left="78" w:hangingChars="67" w:hanging="141"/>
              <w:rPr>
                <w:szCs w:val="21"/>
              </w:rPr>
            </w:pPr>
          </w:p>
          <w:p w:rsidR="00D52E34" w:rsidRDefault="0002490C" w:rsidP="00DE110D">
            <w:pPr>
              <w:ind w:leftChars="-30" w:left="78" w:hangingChars="67" w:hanging="141"/>
              <w:rPr>
                <w:szCs w:val="21"/>
              </w:rPr>
            </w:pPr>
            <w:r>
              <w:rPr>
                <w:rFonts w:hint="eastAsia"/>
                <w:szCs w:val="21"/>
              </w:rPr>
              <w:t>问题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：分组实验：</w:t>
            </w:r>
            <w:r w:rsidR="00DE110D">
              <w:rPr>
                <w:rFonts w:hint="eastAsia"/>
                <w:szCs w:val="21"/>
              </w:rPr>
              <w:t>测定</w:t>
            </w:r>
            <w:r w:rsidR="00DE110D" w:rsidRPr="00DE110D">
              <w:rPr>
                <w:rFonts w:hint="eastAsia"/>
                <w:bCs/>
                <w:szCs w:val="21"/>
              </w:rPr>
              <w:t>硝酸铵、氯化钠和氢氧化钠溶解时的能量变化</w:t>
            </w:r>
            <w:r w:rsidR="00DE110D" w:rsidRPr="00DE110D">
              <w:rPr>
                <w:rFonts w:hint="eastAsia"/>
                <w:bCs/>
                <w:szCs w:val="21"/>
                <w:vertAlign w:val="subscript"/>
              </w:rPr>
              <w:t xml:space="preserve"> </w:t>
            </w:r>
          </w:p>
          <w:p w:rsidR="00DE110D" w:rsidRPr="00DE110D" w:rsidRDefault="00DE110D" w:rsidP="00DE110D">
            <w:pPr>
              <w:ind w:leftChars="-30" w:left="78" w:hangingChars="67" w:hanging="141"/>
              <w:rPr>
                <w:szCs w:val="21"/>
              </w:rPr>
            </w:pPr>
            <w:r>
              <w:rPr>
                <w:rFonts w:hint="eastAsia"/>
                <w:szCs w:val="21"/>
              </w:rPr>
              <w:t>总结</w:t>
            </w:r>
            <w:r w:rsidRPr="00DE110D">
              <w:rPr>
                <w:rFonts w:hint="eastAsia"/>
                <w:szCs w:val="21"/>
              </w:rPr>
              <w:t>：</w:t>
            </w:r>
            <w:r w:rsidRPr="00DE110D">
              <w:rPr>
                <w:rFonts w:hint="eastAsia"/>
                <w:bCs/>
                <w:szCs w:val="21"/>
              </w:rPr>
              <w:t>物质溶解于水的过程中通常伴随热量的变化</w:t>
            </w:r>
          </w:p>
          <w:p w:rsidR="002D62D3" w:rsidRDefault="002D62D3">
            <w:pPr>
              <w:rPr>
                <w:szCs w:val="21"/>
              </w:rPr>
            </w:pPr>
          </w:p>
          <w:p w:rsidR="00E30A9A" w:rsidRDefault="00E30A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拓展视野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几种常见的冷却剂</w:t>
            </w: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E30A9A" w:rsidRDefault="00E30A9A">
            <w:pPr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问题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：</w:t>
            </w:r>
            <w:r w:rsidRPr="00E30A9A">
              <w:rPr>
                <w:rFonts w:hint="eastAsia"/>
                <w:bCs/>
                <w:szCs w:val="21"/>
              </w:rPr>
              <w:t>从下列所给的</w:t>
            </w:r>
            <w:r w:rsidRPr="00E30A9A">
              <w:rPr>
                <w:bCs/>
                <w:szCs w:val="21"/>
              </w:rPr>
              <w:t>A-F</w:t>
            </w:r>
            <w:r w:rsidRPr="00E30A9A">
              <w:rPr>
                <w:rFonts w:hint="eastAsia"/>
                <w:bCs/>
                <w:szCs w:val="21"/>
              </w:rPr>
              <w:t>的仪器中，选择你需要的仪器证明氢氧化钠固体溶于水会放热（小组讨论并说说设计理由）</w:t>
            </w:r>
          </w:p>
          <w:p w:rsidR="00E30A9A" w:rsidRDefault="00E30A9A" w:rsidP="00E30A9A">
            <w:pPr>
              <w:rPr>
                <w:bCs/>
                <w:szCs w:val="21"/>
              </w:rPr>
            </w:pP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1485265</wp:posOffset>
                  </wp:positionH>
                  <wp:positionV relativeFrom="paragraph">
                    <wp:posOffset>3810</wp:posOffset>
                  </wp:positionV>
                  <wp:extent cx="361950" cy="450850"/>
                  <wp:effectExtent l="57150" t="0" r="57150" b="82550"/>
                  <wp:wrapTopAndBottom/>
                  <wp:docPr id="6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1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lum bright="10000"/>
                          </a:blip>
                          <a:srcRect l="50000" t="54878" r="38537" b="32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50850"/>
                          </a:xfrm>
                          <a:prstGeom prst="rect">
                            <a:avLst/>
                          </a:prstGeom>
                          <a:blipFill>
                            <a:blip r:embed="rId9">
                              <a:duotone>
                                <a:prstClr val="black"/>
                                <a:srgbClr val="D9C3A5">
                                  <a:tint val="50000"/>
                                  <a:satMod val="180000"/>
                                </a:srgbClr>
                              </a:duotone>
                              <a:lum bright="10000"/>
                            </a:blip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50800" dist="50800" dir="5400000" algn="ctr" rotWithShape="0">
                              <a:srgbClr val="FFD1F3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1248410</wp:posOffset>
                  </wp:positionH>
                  <wp:positionV relativeFrom="paragraph">
                    <wp:posOffset>3810</wp:posOffset>
                  </wp:positionV>
                  <wp:extent cx="52705" cy="546100"/>
                  <wp:effectExtent l="19050" t="0" r="4445" b="0"/>
                  <wp:wrapTopAndBottom/>
                  <wp:docPr id="5" name="对象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2387" cy="1728787"/>
                            <a:chOff x="5659438" y="2843213"/>
                            <a:chExt cx="52387" cy="1728787"/>
                          </a:xfrm>
                        </a:grpSpPr>
                        <a:grpSp>
                          <a:nvGrpSpPr>
                            <a:cNvPr id="7181" name="xjhhxtx3"/>
                            <a:cNvGrpSpPr>
                              <a:grpSpLocks/>
                            </a:cNvGrpSpPr>
                          </a:nvGrpSpPr>
                          <a:grpSpPr bwMode="auto">
                            <a:xfrm rot="-5400000">
                              <a:off x="4821238" y="3681413"/>
                              <a:ext cx="1728787" cy="52387"/>
                              <a:chOff x="2160" y="2688"/>
                              <a:chExt cx="3992" cy="240"/>
                            </a:xfrm>
                          </a:grpSpPr>
                          <a:sp>
                            <a:nvSpPr>
                              <a:cNvPr id="7192" name="Line 3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160" y="2688"/>
                                <a:ext cx="39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3" name="Line 3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160" y="2928"/>
                                <a:ext cx="39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888365</wp:posOffset>
                  </wp:positionH>
                  <wp:positionV relativeFrom="paragraph">
                    <wp:posOffset>99060</wp:posOffset>
                  </wp:positionV>
                  <wp:extent cx="209550" cy="114300"/>
                  <wp:effectExtent l="19050" t="0" r="0" b="0"/>
                  <wp:wrapTopAndBottom/>
                  <wp:docPr id="4" name="对象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15962" cy="463550"/>
                            <a:chOff x="4129088" y="3344863"/>
                            <a:chExt cx="715962" cy="463550"/>
                          </a:xfrm>
                        </a:grpSpPr>
                        <a:grpSp>
                          <a:nvGrpSpPr>
                            <a:cNvPr id="7179" name="Group 29"/>
                            <a:cNvGrpSpPr>
                              <a:grpSpLocks noChangeAspect="1"/>
                            </a:cNvGrpSpPr>
                          </a:nvGrpSpPr>
                          <a:grpSpPr bwMode="auto">
                            <a:xfrm>
                              <a:off x="4129088" y="3344863"/>
                              <a:ext cx="715962" cy="463550"/>
                              <a:chOff x="2592" y="4753"/>
                              <a:chExt cx="340" cy="220"/>
                            </a:xfrm>
                          </a:grpSpPr>
                          <a:sp>
                            <a:nvSpPr>
                              <a:cNvPr id="7194" name="AutoShape 31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2592" y="4753"/>
                                <a:ext cx="340" cy="220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0 w 21600"/>
                                  <a:gd name="T3" fmla="*/ 0 h 21600"/>
                                  <a:gd name="T4" fmla="*/ 0 w 21600"/>
                                  <a:gd name="T5" fmla="*/ 0 h 21600"/>
                                  <a:gd name="T6" fmla="*/ 0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3049 w 21600"/>
                                  <a:gd name="T13" fmla="*/ 3044 h 21600"/>
                                  <a:gd name="T14" fmla="*/ 18551 w 21600"/>
                                  <a:gd name="T15" fmla="*/ 18556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462" y="21600"/>
                                    </a:lnTo>
                                    <a:lnTo>
                                      <a:pt x="19138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767676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76767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5" name="AutoShape 30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 flipH="1">
                                <a:off x="2592" y="4824"/>
                                <a:ext cx="334" cy="2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742315</wp:posOffset>
                  </wp:positionH>
                  <wp:positionV relativeFrom="paragraph">
                    <wp:posOffset>3810</wp:posOffset>
                  </wp:positionV>
                  <wp:extent cx="44450" cy="317500"/>
                  <wp:effectExtent l="19050" t="0" r="0" b="0"/>
                  <wp:wrapTopAndBottom/>
                  <wp:docPr id="3" name="对象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38112" cy="1203325"/>
                            <a:chOff x="3319463" y="2968625"/>
                            <a:chExt cx="138112" cy="1203325"/>
                          </a:xfrm>
                        </a:grpSpPr>
                        <a:grpSp>
                          <a:nvGrpSpPr>
                            <a:cNvPr id="7177" name="Group 21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319463" y="2968625"/>
                              <a:ext cx="138112" cy="1203325"/>
                              <a:chOff x="4626" y="8624"/>
                              <a:chExt cx="111" cy="825"/>
                            </a:xfrm>
                          </a:grpSpPr>
                          <a:sp>
                            <a:nvSpPr>
                              <a:cNvPr id="7196" name="Rectangle 27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4647" y="9112"/>
                                <a:ext cx="58" cy="1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7" name="Freeform 26"/>
                              <a:cNvSpPr>
                                <a:spLocks noChangeAspect="1"/>
                              </a:cNvSpPr>
                            </a:nvSpPr>
                            <a:spPr bwMode="auto">
                              <a:xfrm>
                                <a:off x="4651" y="9290"/>
                                <a:ext cx="59" cy="159"/>
                              </a:xfrm>
                              <a:custGeom>
                                <a:avLst/>
                                <a:gdLst>
                                  <a:gd name="T0" fmla="*/ 0 w 181"/>
                                  <a:gd name="T1" fmla="*/ 0 h 1029"/>
                                  <a:gd name="T2" fmla="*/ 8 w 181"/>
                                  <a:gd name="T3" fmla="*/ 25 h 1029"/>
                                  <a:gd name="T4" fmla="*/ 19 w 181"/>
                                  <a:gd name="T5" fmla="*/ 0 h 1029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181"/>
                                  <a:gd name="T10" fmla="*/ 0 h 1029"/>
                                  <a:gd name="T11" fmla="*/ 181 w 181"/>
                                  <a:gd name="T12" fmla="*/ 1029 h 1029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181" h="1029">
                                    <a:moveTo>
                                      <a:pt x="0" y="0"/>
                                    </a:moveTo>
                                    <a:lnTo>
                                      <a:pt x="78" y="1029"/>
                                    </a:lnTo>
                                    <a:lnTo>
                                      <a:pt x="18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198" name="Freeform 25"/>
                              <a:cNvSpPr>
                                <a:spLocks noChangeAspect="1"/>
                              </a:cNvSpPr>
                            </a:nvSpPr>
                            <a:spPr bwMode="auto">
                              <a:xfrm>
                                <a:off x="4651" y="8843"/>
                                <a:ext cx="58" cy="462"/>
                              </a:xfrm>
                              <a:custGeom>
                                <a:avLst/>
                                <a:gdLst>
                                  <a:gd name="T0" fmla="*/ 0 w 181"/>
                                  <a:gd name="T1" fmla="*/ 171 h 1248"/>
                                  <a:gd name="T2" fmla="*/ 0 w 181"/>
                                  <a:gd name="T3" fmla="*/ 0 h 1248"/>
                                  <a:gd name="T4" fmla="*/ 19 w 181"/>
                                  <a:gd name="T5" fmla="*/ 0 h 1248"/>
                                  <a:gd name="T6" fmla="*/ 19 w 181"/>
                                  <a:gd name="T7" fmla="*/ 171 h 1248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0 w 181"/>
                                  <a:gd name="T13" fmla="*/ 0 h 1248"/>
                                  <a:gd name="T14" fmla="*/ 181 w 181"/>
                                  <a:gd name="T15" fmla="*/ 1248 h 1248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181" h="1248">
                                    <a:moveTo>
                                      <a:pt x="0" y="124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81" y="0"/>
                                    </a:lnTo>
                                    <a:lnTo>
                                      <a:pt x="181" y="1248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6" name="Group 22"/>
                              <a:cNvGrpSpPr>
                                <a:grpSpLocks noChangeAspect="1"/>
                              </a:cNvGrpSpPr>
                            </a:nvGrpSpPr>
                            <a:grpSpPr bwMode="auto">
                              <a:xfrm>
                                <a:off x="4626" y="8620"/>
                                <a:ext cx="111" cy="211"/>
                                <a:chOff x="6687" y="2220"/>
                                <a:chExt cx="216" cy="522"/>
                              </a:xfrm>
                            </a:grpSpPr>
                            <a:sp>
                              <a:nvSpPr>
                                <a:cNvPr id="7200" name="y10Oval 9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6687" y="2220"/>
                                  <a:ext cx="216" cy="3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7201" name="y10Rectangle 10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6728" y="2532"/>
                                  <a:ext cx="135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buFont typeface="Arial" pitchFamily="34" charset="0"/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b="1" kern="120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ea typeface="宋体" pitchFamily="2" charset="-122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</lc:lockedCanvas>
                    </a:graphicData>
                  </a:graphic>
                </wp:anchor>
              </w:drawing>
            </w: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3810</wp:posOffset>
                  </wp:positionV>
                  <wp:extent cx="114300" cy="349250"/>
                  <wp:effectExtent l="19050" t="0" r="0" b="0"/>
                  <wp:wrapTopAndBottom/>
                  <wp:docPr id="2" name="对象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04800" cy="1673225"/>
                            <a:chOff x="2414588" y="2876550"/>
                            <a:chExt cx="304800" cy="1673225"/>
                          </a:xfrm>
                        </a:grpSpPr>
                        <a:grpSp>
                          <a:nvGrpSpPr>
                            <a:cNvPr id="7175" name="Group 15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2414588" y="2876550"/>
                              <a:ext cx="304800" cy="1673225"/>
                              <a:chOff x="2669" y="276"/>
                              <a:chExt cx="241" cy="1605"/>
                            </a:xfrm>
                          </a:grpSpPr>
                          <a:sp>
                            <a:nvSpPr>
                              <a:cNvPr id="7202" name="AutoShape 1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669" y="276"/>
                                <a:ext cx="238" cy="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3" name="Oval 1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681" y="1666"/>
                                <a:ext cx="215" cy="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4" name="AutoShape 1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681" y="302"/>
                                <a:ext cx="215" cy="1464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5" name="Rectangle 1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12" y="1579"/>
                                <a:ext cx="198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>
              <w:rPr>
                <w:bCs/>
                <w:noProof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3810</wp:posOffset>
                  </wp:positionV>
                  <wp:extent cx="349250" cy="482600"/>
                  <wp:effectExtent l="19050" t="0" r="0" b="0"/>
                  <wp:wrapTopAndBottom/>
                  <wp:docPr id="1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201737" cy="1890712"/>
                            <a:chOff x="852488" y="2855913"/>
                            <a:chExt cx="1201737" cy="1890712"/>
                          </a:xfrm>
                        </a:grpSpPr>
                        <a:grpSp>
                          <a:nvGrpSpPr>
                            <a:cNvPr id="7173" name="Group 1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852488" y="2855913"/>
                              <a:ext cx="1201737" cy="1890712"/>
                              <a:chOff x="2198" y="2220"/>
                              <a:chExt cx="732" cy="1127"/>
                            </a:xfrm>
                          </a:grpSpPr>
                          <a:sp>
                            <a:nvSpPr>
                              <a:cNvPr id="7206" name="AutoShape 1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224" y="3153"/>
                                <a:ext cx="680" cy="194"/>
                              </a:xfrm>
                              <a:prstGeom prst="roundRect">
                                <a:avLst>
                                  <a:gd name="adj" fmla="val 4324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7" name="AutoShape 1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78" y="2220"/>
                                <a:ext cx="369" cy="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8" name="Rectangle 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35" y="2298"/>
                                <a:ext cx="255" cy="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09" name="Rectangle 1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88" y="2264"/>
                                <a:ext cx="350" cy="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0" name="Freeform 9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2394" y="2247"/>
                                <a:ext cx="44" cy="84"/>
                              </a:xfrm>
                              <a:custGeom>
                                <a:avLst/>
                                <a:gdLst>
                                  <a:gd name="T0" fmla="*/ 42 w 44"/>
                                  <a:gd name="T1" fmla="*/ 84 h 84"/>
                                  <a:gd name="T2" fmla="*/ 42 w 44"/>
                                  <a:gd name="T3" fmla="*/ 48 h 84"/>
                                  <a:gd name="T4" fmla="*/ 30 w 44"/>
                                  <a:gd name="T5" fmla="*/ 21 h 84"/>
                                  <a:gd name="T6" fmla="*/ 0 w 44"/>
                                  <a:gd name="T7" fmla="*/ 0 h 84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0 w 44"/>
                                  <a:gd name="T13" fmla="*/ 0 h 84"/>
                                  <a:gd name="T14" fmla="*/ 44 w 44"/>
                                  <a:gd name="T15" fmla="*/ 84 h 84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44" h="84">
                                    <a:moveTo>
                                      <a:pt x="42" y="84"/>
                                    </a:moveTo>
                                    <a:cubicBezTo>
                                      <a:pt x="43" y="71"/>
                                      <a:pt x="44" y="58"/>
                                      <a:pt x="42" y="48"/>
                                    </a:cubicBezTo>
                                    <a:cubicBezTo>
                                      <a:pt x="40" y="38"/>
                                      <a:pt x="37" y="29"/>
                                      <a:pt x="30" y="21"/>
                                    </a:cubicBezTo>
                                    <a:cubicBezTo>
                                      <a:pt x="23" y="13"/>
                                      <a:pt x="6" y="4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1" name="Rectangle 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04" y="2520"/>
                                <a:ext cx="321" cy="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2" name="Rectangle 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198" y="3108"/>
                                <a:ext cx="732" cy="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3" name="Line 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2226" y="2589"/>
                                <a:ext cx="192" cy="62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4" name="Line 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706" y="2589"/>
                                <a:ext cx="192" cy="62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5" name="Freeform 4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2691" y="2247"/>
                                <a:ext cx="44" cy="96"/>
                              </a:xfrm>
                              <a:custGeom>
                                <a:avLst/>
                                <a:gdLst>
                                  <a:gd name="T0" fmla="*/ 0 w 44"/>
                                  <a:gd name="T1" fmla="*/ 96 h 96"/>
                                  <a:gd name="T2" fmla="*/ 2 w 44"/>
                                  <a:gd name="T3" fmla="*/ 48 h 96"/>
                                  <a:gd name="T4" fmla="*/ 14 w 44"/>
                                  <a:gd name="T5" fmla="*/ 21 h 96"/>
                                  <a:gd name="T6" fmla="*/ 44 w 44"/>
                                  <a:gd name="T7" fmla="*/ 0 h 96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0 w 44"/>
                                  <a:gd name="T13" fmla="*/ 0 h 96"/>
                                  <a:gd name="T14" fmla="*/ 44 w 44"/>
                                  <a:gd name="T15" fmla="*/ 96 h 9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44" h="96">
                                    <a:moveTo>
                                      <a:pt x="0" y="96"/>
                                    </a:moveTo>
                                    <a:cubicBezTo>
                                      <a:pt x="0" y="88"/>
                                      <a:pt x="0" y="60"/>
                                      <a:pt x="2" y="48"/>
                                    </a:cubicBezTo>
                                    <a:cubicBezTo>
                                      <a:pt x="4" y="36"/>
                                      <a:pt x="7" y="29"/>
                                      <a:pt x="14" y="21"/>
                                    </a:cubicBezTo>
                                    <a:cubicBezTo>
                                      <a:pt x="21" y="13"/>
                                      <a:pt x="38" y="4"/>
                                      <a:pt x="44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6" name="Freeform 3"/>
                              <a:cNvSpPr>
                                <a:spLocks/>
                              </a:cNvSpPr>
                            </a:nvSpPr>
                            <a:spPr bwMode="auto">
                              <a:xfrm>
                                <a:off x="2415" y="2511"/>
                                <a:ext cx="21" cy="90"/>
                              </a:xfrm>
                              <a:custGeom>
                                <a:avLst/>
                                <a:gdLst>
                                  <a:gd name="T0" fmla="*/ 21 w 21"/>
                                  <a:gd name="T1" fmla="*/ 0 h 90"/>
                                  <a:gd name="T2" fmla="*/ 15 w 21"/>
                                  <a:gd name="T3" fmla="*/ 36 h 90"/>
                                  <a:gd name="T4" fmla="*/ 0 w 21"/>
                                  <a:gd name="T5" fmla="*/ 90 h 90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1"/>
                                  <a:gd name="T10" fmla="*/ 0 h 90"/>
                                  <a:gd name="T11" fmla="*/ 21 w 21"/>
                                  <a:gd name="T12" fmla="*/ 90 h 90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1" h="90">
                                    <a:moveTo>
                                      <a:pt x="21" y="0"/>
                                    </a:moveTo>
                                    <a:cubicBezTo>
                                      <a:pt x="19" y="10"/>
                                      <a:pt x="18" y="21"/>
                                      <a:pt x="15" y="36"/>
                                    </a:cubicBezTo>
                                    <a:cubicBezTo>
                                      <a:pt x="12" y="51"/>
                                      <a:pt x="6" y="70"/>
                                      <a:pt x="0" y="9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217" name="Freeform 2"/>
                              <a:cNvSpPr>
                                <a:spLocks/>
                              </a:cNvSpPr>
                            </a:nvSpPr>
                            <a:spPr bwMode="auto">
                              <a:xfrm flipH="1">
                                <a:off x="2691" y="2511"/>
                                <a:ext cx="21" cy="90"/>
                              </a:xfrm>
                              <a:custGeom>
                                <a:avLst/>
                                <a:gdLst>
                                  <a:gd name="T0" fmla="*/ 21 w 21"/>
                                  <a:gd name="T1" fmla="*/ 0 h 90"/>
                                  <a:gd name="T2" fmla="*/ 15 w 21"/>
                                  <a:gd name="T3" fmla="*/ 36 h 90"/>
                                  <a:gd name="T4" fmla="*/ 0 w 21"/>
                                  <a:gd name="T5" fmla="*/ 90 h 90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1"/>
                                  <a:gd name="T10" fmla="*/ 0 h 90"/>
                                  <a:gd name="T11" fmla="*/ 21 w 21"/>
                                  <a:gd name="T12" fmla="*/ 90 h 90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1" h="90">
                                    <a:moveTo>
                                      <a:pt x="21" y="0"/>
                                    </a:moveTo>
                                    <a:cubicBezTo>
                                      <a:pt x="19" y="10"/>
                                      <a:pt x="18" y="21"/>
                                      <a:pt x="15" y="36"/>
                                    </a:cubicBezTo>
                                    <a:cubicBezTo>
                                      <a:pt x="12" y="51"/>
                                      <a:pt x="6" y="70"/>
                                      <a:pt x="0" y="9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Font typeface="Arial" pitchFamily="34" charset="0"/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b="1" kern="120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ea typeface="宋体" pitchFamily="2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anchor>
              </w:drawing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  <w:p w:rsidR="00E30A9A" w:rsidRDefault="00E30A9A">
            <w:pPr>
              <w:rPr>
                <w:bCs/>
                <w:szCs w:val="21"/>
              </w:rPr>
            </w:pPr>
          </w:p>
          <w:p w:rsidR="00D52E34" w:rsidRDefault="00D52E34" w:rsidP="00E30A9A"/>
        </w:tc>
        <w:tc>
          <w:tcPr>
            <w:tcW w:w="2533" w:type="dxa"/>
          </w:tcPr>
          <w:p w:rsidR="002D62D3" w:rsidRDefault="002D62D3" w:rsidP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学生代表回答</w:t>
            </w: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学生观察、感受温度改变</w:t>
            </w:r>
          </w:p>
          <w:p w:rsidR="003773D4" w:rsidRPr="003773D4" w:rsidRDefault="003773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猜测原因</w:t>
            </w: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2D62D3" w:rsidRDefault="002D62D3" w:rsidP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学生设计实验方案</w:t>
            </w: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2D62D3" w:rsidRDefault="002D62D3" w:rsidP="002D62D3">
            <w:pPr>
              <w:rPr>
                <w:szCs w:val="21"/>
              </w:rPr>
            </w:pPr>
          </w:p>
          <w:p w:rsidR="002D62D3" w:rsidRDefault="002D62D3" w:rsidP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学生分组实验</w:t>
            </w:r>
          </w:p>
          <w:p w:rsidR="003773D4" w:rsidRDefault="003773D4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学生阅读，体会物质溶解过程中热量改变在生活中的实际用途</w:t>
            </w:r>
          </w:p>
          <w:p w:rsidR="002D62D3" w:rsidRDefault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分组讨论，用所给的仪器图片进行</w:t>
            </w:r>
            <w:r w:rsidR="008B2CA8">
              <w:rPr>
                <w:rFonts w:hint="eastAsia"/>
                <w:szCs w:val="21"/>
              </w:rPr>
              <w:t>仪器</w:t>
            </w:r>
            <w:r>
              <w:rPr>
                <w:rFonts w:hint="eastAsia"/>
                <w:szCs w:val="21"/>
              </w:rPr>
              <w:t>组装</w:t>
            </w: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学生代表汇报结果，其它组进行补充。</w:t>
            </w: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D52E34" w:rsidRDefault="00D52E34" w:rsidP="002D62D3"/>
        </w:tc>
        <w:tc>
          <w:tcPr>
            <w:tcW w:w="1374" w:type="dxa"/>
          </w:tcPr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D52E34" w:rsidRDefault="003773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教师演示</w:t>
            </w:r>
          </w:p>
          <w:p w:rsidR="003773D4" w:rsidRDefault="003773D4">
            <w:pPr>
              <w:rPr>
                <w:szCs w:val="21"/>
              </w:rPr>
            </w:pPr>
          </w:p>
          <w:p w:rsidR="003773D4" w:rsidRDefault="003773D4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2D62D3" w:rsidRDefault="002D62D3">
            <w:pPr>
              <w:rPr>
                <w:szCs w:val="21"/>
              </w:rPr>
            </w:pPr>
          </w:p>
          <w:p w:rsidR="00D52E34" w:rsidRDefault="000249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教师巡视</w:t>
            </w:r>
            <w:r w:rsidR="002D62D3">
              <w:rPr>
                <w:rFonts w:hint="eastAsia"/>
                <w:szCs w:val="21"/>
              </w:rPr>
              <w:t>，指导学生进行实验</w:t>
            </w: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>
            <w:pPr>
              <w:rPr>
                <w:szCs w:val="21"/>
              </w:rPr>
            </w:pPr>
          </w:p>
          <w:p w:rsidR="00D52E34" w:rsidRDefault="000249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教师巡视、指导</w:t>
            </w:r>
          </w:p>
          <w:p w:rsidR="00D52E34" w:rsidRDefault="00D52E34">
            <w:pPr>
              <w:rPr>
                <w:szCs w:val="21"/>
              </w:rPr>
            </w:pPr>
          </w:p>
          <w:p w:rsidR="00D52E34" w:rsidRDefault="00D52E34"/>
          <w:p w:rsidR="00D52E34" w:rsidRDefault="002D62D3">
            <w:r>
              <w:rPr>
                <w:rFonts w:hint="eastAsia"/>
              </w:rPr>
              <w:t>教师点评</w:t>
            </w:r>
          </w:p>
          <w:p w:rsidR="00D52E34" w:rsidRDefault="00D52E34"/>
          <w:p w:rsidR="00D52E34" w:rsidRDefault="00D52E34"/>
          <w:p w:rsidR="00D52E34" w:rsidRDefault="00D52E34"/>
          <w:p w:rsidR="00D52E34" w:rsidRDefault="00D52E34"/>
          <w:p w:rsidR="00D52E34" w:rsidRDefault="00D52E34"/>
        </w:tc>
      </w:tr>
      <w:tr w:rsidR="00D52E34" w:rsidTr="00A22DD9">
        <w:tc>
          <w:tcPr>
            <w:tcW w:w="1101" w:type="dxa"/>
          </w:tcPr>
          <w:p w:rsidR="00D52E34" w:rsidRDefault="0002490C">
            <w:r>
              <w:rPr>
                <w:rFonts w:hint="eastAsia"/>
                <w:szCs w:val="21"/>
              </w:rPr>
              <w:lastRenderedPageBreak/>
              <w:t>板块二：</w:t>
            </w:r>
            <w:r w:rsidR="00E30A9A">
              <w:rPr>
                <w:rFonts w:hint="eastAsia"/>
                <w:szCs w:val="21"/>
              </w:rPr>
              <w:t>水溶液的某些性质</w:t>
            </w:r>
          </w:p>
        </w:tc>
        <w:tc>
          <w:tcPr>
            <w:tcW w:w="3514" w:type="dxa"/>
          </w:tcPr>
          <w:p w:rsidR="00D52E34" w:rsidRDefault="00D12FEE">
            <w:r>
              <w:rPr>
                <w:rFonts w:hint="eastAsia"/>
              </w:rPr>
              <w:t>过渡</w:t>
            </w:r>
            <w:r w:rsidR="0002490C">
              <w:rPr>
                <w:rFonts w:hint="eastAsia"/>
              </w:rPr>
              <w:t>：</w:t>
            </w:r>
            <w:r>
              <w:rPr>
                <w:rFonts w:hint="eastAsia"/>
              </w:rPr>
              <w:t>刚才配制出的三种溶液有什么共同性质呢？溶液是否会导电呢？</w:t>
            </w:r>
            <w:r>
              <w:t xml:space="preserve"> </w:t>
            </w:r>
          </w:p>
          <w:p w:rsidR="00824EB4" w:rsidRDefault="00824EB4"/>
          <w:p w:rsidR="00D12FEE" w:rsidRDefault="0002490C">
            <w:r>
              <w:rPr>
                <w:rFonts w:hint="eastAsia"/>
              </w:rPr>
              <w:t>问题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D12FEE">
              <w:rPr>
                <w:rFonts w:hint="eastAsia"/>
              </w:rPr>
              <w:t>你能设计怎样的实验验证溶液是否具有导电性？</w:t>
            </w:r>
          </w:p>
          <w:p w:rsidR="00824EB4" w:rsidRDefault="00824EB4"/>
          <w:p w:rsidR="00D12FEE" w:rsidRPr="00D12FEE" w:rsidRDefault="00D12FEE">
            <w:pPr>
              <w:rPr>
                <w:bCs/>
              </w:rPr>
            </w:pPr>
            <w:r>
              <w:rPr>
                <w:rFonts w:hint="eastAsia"/>
              </w:rPr>
              <w:t>问题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02490C">
              <w:rPr>
                <w:rFonts w:hint="eastAsia"/>
              </w:rPr>
              <w:t>分组实验：</w:t>
            </w:r>
            <w:r>
              <w:rPr>
                <w:rFonts w:hint="eastAsia"/>
              </w:rPr>
              <w:t>测定</w:t>
            </w:r>
            <w:r w:rsidRPr="00D12FEE">
              <w:rPr>
                <w:rFonts w:hint="eastAsia"/>
                <w:bCs/>
              </w:rPr>
              <w:t>水、食盐水、蔗糖溶液、稀硫酸和稀氢氧化钠</w:t>
            </w:r>
            <w:r w:rsidR="008B2CA8">
              <w:rPr>
                <w:rFonts w:hint="eastAsia"/>
                <w:bCs/>
              </w:rPr>
              <w:t>溶液</w:t>
            </w:r>
            <w:r w:rsidRPr="00D12FEE">
              <w:rPr>
                <w:rFonts w:hint="eastAsia"/>
                <w:bCs/>
              </w:rPr>
              <w:t>的导电性</w:t>
            </w:r>
          </w:p>
          <w:p w:rsidR="00824EB4" w:rsidRDefault="00824EB4"/>
          <w:p w:rsidR="00D52E34" w:rsidRDefault="0002490C">
            <w:r>
              <w:rPr>
                <w:rFonts w:hint="eastAsia"/>
              </w:rPr>
              <w:t>问题</w:t>
            </w:r>
            <w:r w:rsidR="00824EB4"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  <w:r w:rsidR="00D12FEE">
              <w:rPr>
                <w:rFonts w:hint="eastAsia"/>
              </w:rPr>
              <w:t>氯化钠和蔗糖是我们最熟悉的两种调味品，为什么一种溶液导电，而另一种溶液不导电呢？</w:t>
            </w:r>
          </w:p>
          <w:p w:rsidR="003D3AB3" w:rsidRDefault="00D12FEE">
            <w:r>
              <w:rPr>
                <w:rFonts w:hint="eastAsia"/>
              </w:rPr>
              <w:t>展示图片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金属导电图片</w:t>
            </w:r>
            <w:r w:rsidR="003D3AB3">
              <w:rPr>
                <w:rFonts w:hint="eastAsia"/>
              </w:rPr>
              <w:t>、氯化钠与蔗糖溶解的微观图。</w:t>
            </w:r>
            <w:r w:rsidR="003773D4">
              <w:rPr>
                <w:rFonts w:hint="eastAsia"/>
              </w:rPr>
              <w:t>得出氯化钠溶液导电的原因</w:t>
            </w:r>
            <w:r w:rsidR="00800E1B">
              <w:rPr>
                <w:rFonts w:hint="eastAsia"/>
              </w:rPr>
              <w:t>。</w:t>
            </w:r>
          </w:p>
          <w:p w:rsidR="00824EB4" w:rsidRDefault="00800E1B" w:rsidP="003773D4">
            <w:r>
              <w:rPr>
                <w:rFonts w:hint="eastAsia"/>
              </w:rPr>
              <w:t>演示：氯化钠固体是否导电？强调离子若不能自由移动也是不能导电的</w:t>
            </w:r>
          </w:p>
          <w:p w:rsidR="003773D4" w:rsidRDefault="003773D4" w:rsidP="003773D4">
            <w:r>
              <w:rPr>
                <w:rFonts w:hint="eastAsia"/>
              </w:rPr>
              <w:t>问题</w:t>
            </w:r>
            <w:r w:rsidR="00824EB4"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</w:p>
          <w:p w:rsidR="003773D4" w:rsidRPr="003773D4" w:rsidRDefault="003773D4" w:rsidP="003773D4">
            <w:r w:rsidRPr="003773D4">
              <w:rPr>
                <w:rFonts w:hint="eastAsia"/>
                <w:bCs/>
              </w:rPr>
              <w:t>（</w:t>
            </w:r>
            <w:r w:rsidRPr="003773D4">
              <w:rPr>
                <w:bCs/>
              </w:rPr>
              <w:t>1</w:t>
            </w:r>
            <w:r w:rsidRPr="003773D4">
              <w:rPr>
                <w:rFonts w:hint="eastAsia"/>
                <w:bCs/>
              </w:rPr>
              <w:t>）仿照食盐溶液，说说氢氧化钠溶液和稀硫酸为什么能导电？</w:t>
            </w:r>
          </w:p>
          <w:p w:rsidR="003773D4" w:rsidRDefault="003773D4" w:rsidP="003773D4">
            <w:pPr>
              <w:rPr>
                <w:bCs/>
              </w:rPr>
            </w:pPr>
            <w:r w:rsidRPr="003773D4">
              <w:rPr>
                <w:rFonts w:hint="eastAsia"/>
                <w:bCs/>
              </w:rPr>
              <w:t>（</w:t>
            </w:r>
            <w:r w:rsidRPr="003773D4">
              <w:rPr>
                <w:bCs/>
              </w:rPr>
              <w:t>2</w:t>
            </w:r>
            <w:r w:rsidRPr="003773D4">
              <w:rPr>
                <w:rFonts w:hint="eastAsia"/>
                <w:bCs/>
              </w:rPr>
              <w:t>）做水的电解实验时，为什么要在水中加入少量的稀硫酸或氢氧化钠溶液？</w:t>
            </w:r>
          </w:p>
          <w:p w:rsidR="003773D4" w:rsidRPr="003773D4" w:rsidRDefault="003773D4" w:rsidP="003773D4">
            <w:r>
              <w:rPr>
                <w:rFonts w:hint="eastAsia"/>
              </w:rPr>
              <w:t>总结：溶液具有导电性的原因</w:t>
            </w:r>
          </w:p>
          <w:p w:rsidR="00824EB4" w:rsidRDefault="00824EB4" w:rsidP="003773D4"/>
          <w:p w:rsidR="003773D4" w:rsidRDefault="003773D4" w:rsidP="003773D4">
            <w:r>
              <w:rPr>
                <w:rFonts w:hint="eastAsia"/>
              </w:rPr>
              <w:t>资料展示：</w:t>
            </w:r>
          </w:p>
          <w:p w:rsidR="003773D4" w:rsidRPr="003773D4" w:rsidRDefault="003773D4" w:rsidP="003773D4">
            <w:pPr>
              <w:ind w:firstLineChars="200" w:firstLine="420"/>
            </w:pPr>
            <w:r w:rsidRPr="003773D4">
              <w:rPr>
                <w:rFonts w:hint="eastAsia"/>
                <w:bCs/>
              </w:rPr>
              <w:t>2017</w:t>
            </w:r>
            <w:r w:rsidRPr="003773D4">
              <w:rPr>
                <w:rFonts w:hint="eastAsia"/>
                <w:bCs/>
              </w:rPr>
              <w:t>年冬，常州外环高架路面积冰，车辆通行受阻，在交警、运管人员对路面进行撒盐除冰后，外环高架恢复正常通行。</w:t>
            </w:r>
          </w:p>
          <w:p w:rsidR="00AA7288" w:rsidRDefault="003773D4" w:rsidP="00AA7288">
            <w:pPr>
              <w:ind w:firstLineChars="196" w:firstLine="412"/>
              <w:rPr>
                <w:rFonts w:hint="eastAsia"/>
                <w:bCs/>
              </w:rPr>
            </w:pPr>
            <w:r w:rsidRPr="003773D4">
              <w:rPr>
                <w:rFonts w:hint="eastAsia"/>
                <w:bCs/>
              </w:rPr>
              <w:t>冬天的时候，在汽车的水箱中加入少量的乙二醇，可以防止水箱中的水结冰。</w:t>
            </w:r>
          </w:p>
          <w:p w:rsidR="003773D4" w:rsidRPr="00AA7288" w:rsidRDefault="00AA7288" w:rsidP="00AA7288">
            <w:pPr>
              <w:ind w:firstLineChars="196" w:firstLine="412"/>
            </w:pPr>
            <w:r>
              <w:rPr>
                <w:rFonts w:hint="eastAsia"/>
                <w:bCs/>
              </w:rPr>
              <w:t>严寒的冬季，厨房里的水结冰了，而盐水、食醋却不容易结冰。</w:t>
            </w:r>
          </w:p>
          <w:p w:rsidR="003773D4" w:rsidRPr="003773D4" w:rsidRDefault="00AA7288" w:rsidP="003773D4">
            <w:r>
              <w:rPr>
                <w:rFonts w:hint="eastAsia"/>
                <w:bCs/>
              </w:rPr>
              <w:t>总结：溶液的凝固点低于</w:t>
            </w:r>
            <w:r w:rsidR="003773D4">
              <w:rPr>
                <w:rFonts w:hint="eastAsia"/>
                <w:bCs/>
              </w:rPr>
              <w:t>纯水</w:t>
            </w:r>
          </w:p>
          <w:p w:rsidR="00AA7288" w:rsidRDefault="003773D4">
            <w:pPr>
              <w:rPr>
                <w:rFonts w:cs="+mn-cs" w:hint="eastAsia"/>
                <w:b/>
                <w:bCs/>
                <w:color w:val="0000FF"/>
                <w:kern w:val="24"/>
                <w:sz w:val="40"/>
                <w:szCs w:val="40"/>
              </w:rPr>
            </w:pPr>
            <w:r>
              <w:rPr>
                <w:rFonts w:hint="eastAsia"/>
              </w:rPr>
              <w:t>资料展示</w:t>
            </w:r>
            <w:r>
              <w:rPr>
                <w:rFonts w:hint="eastAsia"/>
              </w:rPr>
              <w:t>:</w:t>
            </w:r>
            <w:r w:rsidRPr="003773D4">
              <w:rPr>
                <w:rFonts w:cs="+mn-cs" w:hint="eastAsia"/>
                <w:b/>
                <w:bCs/>
                <w:color w:val="0000FF"/>
                <w:kern w:val="24"/>
                <w:sz w:val="40"/>
                <w:szCs w:val="40"/>
              </w:rPr>
              <w:t xml:space="preserve"> </w:t>
            </w:r>
          </w:p>
          <w:p w:rsidR="003773D4" w:rsidRDefault="003773D4" w:rsidP="00AA7288">
            <w:pPr>
              <w:ind w:firstLineChars="199" w:firstLine="418"/>
              <w:rPr>
                <w:bCs/>
              </w:rPr>
            </w:pPr>
            <w:r w:rsidRPr="003773D4">
              <w:rPr>
                <w:rFonts w:hint="eastAsia"/>
                <w:bCs/>
              </w:rPr>
              <w:t>煮沸的汤比煮沸的水温度要高</w:t>
            </w:r>
          </w:p>
          <w:p w:rsidR="00D52E34" w:rsidRPr="008B2CA8" w:rsidRDefault="003773D4">
            <w:pPr>
              <w:rPr>
                <w:bCs/>
              </w:rPr>
            </w:pPr>
            <w:r>
              <w:rPr>
                <w:rFonts w:hint="eastAsia"/>
                <w:bCs/>
              </w:rPr>
              <w:t>总结：溶液的沸点高于纯水</w:t>
            </w:r>
          </w:p>
        </w:tc>
        <w:tc>
          <w:tcPr>
            <w:tcW w:w="2533" w:type="dxa"/>
          </w:tcPr>
          <w:p w:rsidR="00D52E34" w:rsidRDefault="002D62D3">
            <w:r>
              <w:rPr>
                <w:rFonts w:hint="eastAsia"/>
              </w:rPr>
              <w:t>学生代表回答</w:t>
            </w:r>
          </w:p>
          <w:p w:rsidR="00D52E34" w:rsidRDefault="00D52E34"/>
          <w:p w:rsidR="00824EB4" w:rsidRDefault="00824EB4"/>
          <w:p w:rsidR="00D52E34" w:rsidRDefault="002D62D3">
            <w:r>
              <w:rPr>
                <w:rFonts w:hint="eastAsia"/>
              </w:rPr>
              <w:t>学生设计</w:t>
            </w:r>
            <w:r w:rsidR="00824EB4">
              <w:rPr>
                <w:rFonts w:hint="eastAsia"/>
              </w:rPr>
              <w:t>实验方案</w:t>
            </w:r>
          </w:p>
          <w:p w:rsidR="00824EB4" w:rsidRDefault="00824EB4"/>
          <w:p w:rsidR="00824EB4" w:rsidRDefault="00824EB4"/>
          <w:p w:rsidR="00D52E34" w:rsidRDefault="0002490C">
            <w:r>
              <w:rPr>
                <w:rFonts w:hint="eastAsia"/>
              </w:rPr>
              <w:t>分组完成实验，仔细观察、对比现象</w:t>
            </w:r>
          </w:p>
          <w:p w:rsidR="00D52E34" w:rsidRDefault="00D52E34"/>
          <w:p w:rsidR="00D52E34" w:rsidRDefault="00D52E34"/>
          <w:p w:rsidR="00D52E34" w:rsidRDefault="0002490C">
            <w:r>
              <w:rPr>
                <w:rFonts w:hint="eastAsia"/>
              </w:rPr>
              <w:t>思考、回答</w:t>
            </w:r>
          </w:p>
          <w:p w:rsidR="00D52E34" w:rsidRDefault="00D52E34"/>
          <w:p w:rsidR="00D52E34" w:rsidRDefault="00D52E34"/>
          <w:p w:rsidR="00824EB4" w:rsidRDefault="00800E1B">
            <w:r>
              <w:rPr>
                <w:rFonts w:hint="eastAsia"/>
              </w:rPr>
              <w:t>观察图片，得出结论</w:t>
            </w:r>
          </w:p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>
            <w:r>
              <w:rPr>
                <w:rFonts w:hint="eastAsia"/>
              </w:rPr>
              <w:t>学生代表回答</w:t>
            </w:r>
          </w:p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>
            <w:r>
              <w:rPr>
                <w:rFonts w:hint="eastAsia"/>
              </w:rPr>
              <w:t>学生阅读、总结水溶液的性质</w:t>
            </w:r>
          </w:p>
          <w:p w:rsidR="00824EB4" w:rsidRDefault="00824EB4"/>
          <w:p w:rsidR="00824EB4" w:rsidRDefault="00824EB4"/>
          <w:p w:rsidR="00824EB4" w:rsidRDefault="00824EB4"/>
          <w:p w:rsidR="00824EB4" w:rsidRDefault="00824EB4"/>
          <w:p w:rsidR="00D52E34" w:rsidRDefault="00D52E34"/>
          <w:p w:rsidR="00D52E34" w:rsidRDefault="00D52E34"/>
        </w:tc>
        <w:tc>
          <w:tcPr>
            <w:tcW w:w="1374" w:type="dxa"/>
          </w:tcPr>
          <w:p w:rsidR="00D52E34" w:rsidRDefault="00D52E34"/>
          <w:p w:rsidR="00D52E34" w:rsidRDefault="00D52E34"/>
          <w:p w:rsidR="00D52E34" w:rsidRDefault="00D52E34"/>
          <w:p w:rsidR="00D52E34" w:rsidRDefault="008B2CA8">
            <w:r>
              <w:rPr>
                <w:rFonts w:hint="eastAsia"/>
              </w:rPr>
              <w:t>教师点评</w:t>
            </w:r>
          </w:p>
          <w:p w:rsidR="00D52E34" w:rsidRDefault="00D52E34"/>
          <w:p w:rsidR="00824EB4" w:rsidRDefault="00824EB4"/>
          <w:p w:rsidR="00D52E34" w:rsidRDefault="0002490C">
            <w:r>
              <w:rPr>
                <w:rFonts w:hint="eastAsia"/>
              </w:rPr>
              <w:t>教师巡视，指导学生实验</w:t>
            </w:r>
          </w:p>
          <w:p w:rsidR="00D52E34" w:rsidRDefault="00D52E34"/>
          <w:p w:rsidR="00D52E34" w:rsidRDefault="00D52E34"/>
          <w:p w:rsidR="00D52E34" w:rsidRDefault="0002490C">
            <w:r>
              <w:rPr>
                <w:rFonts w:hint="eastAsia"/>
              </w:rPr>
              <w:t>师生共同进行探究</w:t>
            </w:r>
          </w:p>
          <w:p w:rsidR="00D52E34" w:rsidRDefault="00D52E34"/>
          <w:p w:rsidR="00D52E34" w:rsidRDefault="00D52E3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D52E34" w:rsidRDefault="00824EB4">
            <w:r>
              <w:rPr>
                <w:rFonts w:hint="eastAsia"/>
              </w:rPr>
              <w:t>教师引导，学生积极参与总结</w:t>
            </w:r>
          </w:p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824EB4" w:rsidRDefault="00824EB4"/>
          <w:p w:rsidR="00D52E34" w:rsidRDefault="00D52E34"/>
        </w:tc>
      </w:tr>
      <w:tr w:rsidR="00D52E34" w:rsidTr="00A22DD9">
        <w:tc>
          <w:tcPr>
            <w:tcW w:w="1101" w:type="dxa"/>
          </w:tcPr>
          <w:p w:rsidR="00D52E34" w:rsidRDefault="0002490C">
            <w:r>
              <w:rPr>
                <w:rFonts w:hint="eastAsia"/>
              </w:rPr>
              <w:t>板块三：</w:t>
            </w:r>
            <w:r w:rsidR="008B2CA8">
              <w:rPr>
                <w:rFonts w:hint="eastAsia"/>
              </w:rPr>
              <w:t>巩固提升</w:t>
            </w:r>
          </w:p>
        </w:tc>
        <w:tc>
          <w:tcPr>
            <w:tcW w:w="3514" w:type="dxa"/>
          </w:tcPr>
          <w:p w:rsidR="008B2CA8" w:rsidRPr="008B2CA8" w:rsidRDefault="008B2CA8" w:rsidP="008B2CA8">
            <w:r w:rsidRPr="008B2CA8">
              <w:rPr>
                <w:rFonts w:hint="eastAsia"/>
                <w:bCs/>
              </w:rPr>
              <w:t>实验室有两瓶体积相同的食盐水和蒸馏水，如何区分它们？</w:t>
            </w:r>
            <w:r w:rsidR="00AA7288">
              <w:rPr>
                <w:rFonts w:hint="eastAsia"/>
                <w:bCs/>
              </w:rPr>
              <w:t>（尽可能多的方法）</w:t>
            </w:r>
          </w:p>
          <w:p w:rsidR="00D52E34" w:rsidRPr="008B2CA8" w:rsidRDefault="00D52E34"/>
        </w:tc>
        <w:tc>
          <w:tcPr>
            <w:tcW w:w="2533" w:type="dxa"/>
          </w:tcPr>
          <w:p w:rsidR="00D52E34" w:rsidRPr="008B2CA8" w:rsidRDefault="008B2CA8">
            <w:r>
              <w:rPr>
                <w:rFonts w:hint="eastAsia"/>
              </w:rPr>
              <w:t>学生思考，小组交流并展示</w:t>
            </w:r>
          </w:p>
          <w:p w:rsidR="00D52E34" w:rsidRDefault="00D52E34"/>
          <w:p w:rsidR="00D52E34" w:rsidRDefault="00D52E34">
            <w:bookmarkStart w:id="0" w:name="_GoBack"/>
            <w:bookmarkEnd w:id="0"/>
          </w:p>
        </w:tc>
        <w:tc>
          <w:tcPr>
            <w:tcW w:w="1374" w:type="dxa"/>
          </w:tcPr>
          <w:p w:rsidR="00D52E34" w:rsidRDefault="008B2CA8">
            <w:r>
              <w:rPr>
                <w:rFonts w:hint="eastAsia"/>
              </w:rPr>
              <w:t>教师巡视</w:t>
            </w:r>
          </w:p>
          <w:p w:rsidR="00D52E34" w:rsidRDefault="008B2CA8">
            <w:r>
              <w:rPr>
                <w:rFonts w:hint="eastAsia"/>
              </w:rPr>
              <w:t>提示</w:t>
            </w:r>
          </w:p>
          <w:p w:rsidR="00D52E34" w:rsidRDefault="00D52E34"/>
          <w:p w:rsidR="00D52E34" w:rsidRDefault="00D52E34"/>
        </w:tc>
      </w:tr>
    </w:tbl>
    <w:p w:rsidR="00D52E34" w:rsidRDefault="00D52E34" w:rsidP="008B2CA8"/>
    <w:sectPr w:rsidR="00D52E34" w:rsidSect="00D52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BE2" w:rsidRDefault="00824BE2" w:rsidP="008D4E8D">
      <w:r>
        <w:separator/>
      </w:r>
    </w:p>
  </w:endnote>
  <w:endnote w:type="continuationSeparator" w:id="1">
    <w:p w:rsidR="00824BE2" w:rsidRDefault="00824BE2" w:rsidP="008D4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BE2" w:rsidRDefault="00824BE2" w:rsidP="008D4E8D">
      <w:r>
        <w:separator/>
      </w:r>
    </w:p>
  </w:footnote>
  <w:footnote w:type="continuationSeparator" w:id="1">
    <w:p w:rsidR="00824BE2" w:rsidRDefault="00824BE2" w:rsidP="008D4E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77556"/>
    <w:multiLevelType w:val="multilevel"/>
    <w:tmpl w:val="44AC07E0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15760A5"/>
    <w:rsid w:val="0002490C"/>
    <w:rsid w:val="002D62D3"/>
    <w:rsid w:val="003773D4"/>
    <w:rsid w:val="003D3AB3"/>
    <w:rsid w:val="0051628D"/>
    <w:rsid w:val="00800E1B"/>
    <w:rsid w:val="00824BE2"/>
    <w:rsid w:val="00824EB4"/>
    <w:rsid w:val="008B2CA8"/>
    <w:rsid w:val="008D4E8D"/>
    <w:rsid w:val="009F6BF0"/>
    <w:rsid w:val="00A22DD9"/>
    <w:rsid w:val="00AA7288"/>
    <w:rsid w:val="00AE7F28"/>
    <w:rsid w:val="00B805F8"/>
    <w:rsid w:val="00C72EC8"/>
    <w:rsid w:val="00D12FEE"/>
    <w:rsid w:val="00D52E34"/>
    <w:rsid w:val="00DB2D46"/>
    <w:rsid w:val="00DE110D"/>
    <w:rsid w:val="00E30A9A"/>
    <w:rsid w:val="026C5282"/>
    <w:rsid w:val="030F333C"/>
    <w:rsid w:val="09CA1E1C"/>
    <w:rsid w:val="15452395"/>
    <w:rsid w:val="2832799B"/>
    <w:rsid w:val="359A0546"/>
    <w:rsid w:val="3E6750BA"/>
    <w:rsid w:val="415760A5"/>
    <w:rsid w:val="46914CB3"/>
    <w:rsid w:val="46A15E94"/>
    <w:rsid w:val="4BED739D"/>
    <w:rsid w:val="56510538"/>
    <w:rsid w:val="5A366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E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52E3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D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D4E8D"/>
    <w:rPr>
      <w:kern w:val="2"/>
      <w:sz w:val="18"/>
      <w:szCs w:val="18"/>
    </w:rPr>
  </w:style>
  <w:style w:type="paragraph" w:styleId="a5">
    <w:name w:val="footer"/>
    <w:basedOn w:val="a"/>
    <w:link w:val="Char0"/>
    <w:rsid w:val="008D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D4E8D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C72EC8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A22D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Balloon Text"/>
    <w:basedOn w:val="a"/>
    <w:link w:val="Char1"/>
    <w:rsid w:val="00E30A9A"/>
    <w:rPr>
      <w:sz w:val="18"/>
      <w:szCs w:val="18"/>
    </w:rPr>
  </w:style>
  <w:style w:type="character" w:customStyle="1" w:styleId="Char1">
    <w:name w:val="批注框文本 Char"/>
    <w:basedOn w:val="a0"/>
    <w:link w:val="a8"/>
    <w:rsid w:val="00E30A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zwy783</dc:creator>
  <cp:lastModifiedBy>Windows 用户</cp:lastModifiedBy>
  <cp:revision>6</cp:revision>
  <dcterms:created xsi:type="dcterms:W3CDTF">2018-12-08T10:15:00Z</dcterms:created>
  <dcterms:modified xsi:type="dcterms:W3CDTF">2018-12-11T14:21:00Z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2052-11.1.0.7848</vt:lpwstr>
  </property>
</Properties>
</file>