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“低年级绘本读写绘的实践研究”</w:t>
      </w:r>
    </w:p>
    <w:p>
      <w:pPr>
        <w:jc w:val="center"/>
        <w:rPr>
          <w:rFonts w:hint="eastAsia"/>
          <w:b/>
          <w:sz w:val="28"/>
          <w:szCs w:val="28"/>
        </w:rPr>
      </w:pPr>
      <w:bookmarkStart w:id="0" w:name="_GoBack"/>
      <w:bookmarkEnd w:id="0"/>
      <w:r>
        <w:rPr>
          <w:rFonts w:hint="eastAsia"/>
          <w:b/>
          <w:sz w:val="28"/>
          <w:szCs w:val="28"/>
        </w:rPr>
        <w:t>课题研究理论学习记载表</w:t>
      </w:r>
    </w:p>
    <w:tbl>
      <w:tblPr>
        <w:tblStyle w:val="3"/>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500"/>
        <w:gridCol w:w="1260"/>
        <w:gridCol w:w="2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restart"/>
            <w:vAlign w:val="center"/>
          </w:tcPr>
          <w:p>
            <w:pPr>
              <w:jc w:val="center"/>
              <w:rPr>
                <w:rFonts w:hint="eastAsia"/>
                <w:b/>
                <w:sz w:val="24"/>
              </w:rPr>
            </w:pPr>
            <w:r>
              <w:rPr>
                <w:rFonts w:hint="eastAsia"/>
                <w:b/>
                <w:sz w:val="24"/>
              </w:rPr>
              <w:t>学习主题</w:t>
            </w:r>
          </w:p>
        </w:tc>
        <w:tc>
          <w:tcPr>
            <w:tcW w:w="4500" w:type="dxa"/>
            <w:vMerge w:val="restart"/>
            <w:vAlign w:val="center"/>
          </w:tcPr>
          <w:p>
            <w:pPr>
              <w:rPr>
                <w:rFonts w:hint="eastAsia" w:eastAsiaTheme="minorEastAsia"/>
                <w:b/>
                <w:sz w:val="24"/>
                <w:lang w:eastAsia="zh-CN"/>
              </w:rPr>
            </w:pPr>
            <w:r>
              <w:rPr>
                <w:rFonts w:hint="eastAsia"/>
                <w:b/>
                <w:sz w:val="24"/>
                <w:lang w:eastAsia="zh-CN"/>
              </w:rPr>
              <w:t>童话中的男性进化史</w:t>
            </w:r>
          </w:p>
        </w:tc>
        <w:tc>
          <w:tcPr>
            <w:tcW w:w="1260" w:type="dxa"/>
            <w:vAlign w:val="center"/>
          </w:tcPr>
          <w:p>
            <w:pPr>
              <w:jc w:val="center"/>
              <w:rPr>
                <w:rFonts w:hint="eastAsia"/>
                <w:b/>
                <w:sz w:val="24"/>
              </w:rPr>
            </w:pPr>
            <w:r>
              <w:rPr>
                <w:rFonts w:hint="eastAsia"/>
                <w:b/>
                <w:sz w:val="24"/>
              </w:rPr>
              <w:t>姓    名</w:t>
            </w:r>
          </w:p>
        </w:tc>
        <w:tc>
          <w:tcPr>
            <w:tcW w:w="2160" w:type="dxa"/>
            <w:vAlign w:val="center"/>
          </w:tcPr>
          <w:p>
            <w:pPr>
              <w:jc w:val="center"/>
              <w:rPr>
                <w:rFonts w:hint="eastAsia" w:eastAsia="宋体"/>
                <w:b/>
                <w:sz w:val="24"/>
                <w:lang w:eastAsia="zh-CN"/>
              </w:rPr>
            </w:pPr>
            <w:r>
              <w:rPr>
                <w:rFonts w:hint="eastAsia" w:eastAsia="宋体"/>
                <w:b/>
                <w:sz w:val="24"/>
                <w:lang w:val="en-US" w:eastAsia="zh-CN"/>
              </w:rPr>
              <w:t>何璐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continue"/>
            <w:vAlign w:val="center"/>
          </w:tcPr>
          <w:p>
            <w:pPr>
              <w:jc w:val="center"/>
              <w:rPr>
                <w:rFonts w:hint="eastAsia"/>
                <w:b/>
                <w:sz w:val="24"/>
              </w:rPr>
            </w:pPr>
          </w:p>
        </w:tc>
        <w:tc>
          <w:tcPr>
            <w:tcW w:w="4500" w:type="dxa"/>
            <w:vMerge w:val="continue"/>
            <w:vAlign w:val="center"/>
          </w:tcPr>
          <w:p>
            <w:pPr>
              <w:jc w:val="center"/>
              <w:rPr>
                <w:rFonts w:hint="eastAsia"/>
                <w:b/>
                <w:sz w:val="24"/>
              </w:rPr>
            </w:pPr>
          </w:p>
        </w:tc>
        <w:tc>
          <w:tcPr>
            <w:tcW w:w="1260" w:type="dxa"/>
            <w:vAlign w:val="center"/>
          </w:tcPr>
          <w:p>
            <w:pPr>
              <w:jc w:val="center"/>
              <w:rPr>
                <w:rFonts w:hint="eastAsia"/>
                <w:b/>
                <w:sz w:val="24"/>
              </w:rPr>
            </w:pPr>
            <w:r>
              <w:rPr>
                <w:rFonts w:hint="eastAsia"/>
                <w:b/>
                <w:sz w:val="24"/>
              </w:rPr>
              <w:t>学习时间</w:t>
            </w:r>
          </w:p>
        </w:tc>
        <w:tc>
          <w:tcPr>
            <w:tcW w:w="2160" w:type="dxa"/>
            <w:vAlign w:val="center"/>
          </w:tcPr>
          <w:p>
            <w:pPr>
              <w:rPr>
                <w:rFonts w:hint="default" w:eastAsiaTheme="minorEastAsia"/>
                <w:b/>
                <w:sz w:val="24"/>
                <w:lang w:val="en-US" w:eastAsia="zh-CN"/>
              </w:rPr>
            </w:pPr>
            <w:r>
              <w:rPr>
                <w:rFonts w:hint="eastAsia"/>
                <w:b/>
                <w:sz w:val="24"/>
                <w:lang w:val="en-US" w:eastAsia="zh-CN"/>
              </w:rPr>
              <w:t>2019.09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内容摘要</w:t>
            </w:r>
          </w:p>
        </w:tc>
        <w:tc>
          <w:tcPr>
            <w:tcW w:w="792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80" w:firstLineChars="200"/>
              <w:textAlignment w:val="auto"/>
              <w:outlineLvl w:val="9"/>
              <w:rPr>
                <w:rFonts w:hint="eastAsia" w:ascii="宋体" w:hAnsi="宋体"/>
                <w:b/>
                <w:sz w:val="24"/>
              </w:rPr>
            </w:pPr>
            <w:r>
              <w:rPr>
                <w:rFonts w:hint="eastAsia" w:asciiTheme="minorEastAsia" w:hAnsiTheme="minorEastAsia" w:eastAsiaTheme="minorEastAsia" w:cstheme="minorEastAsia"/>
                <w:b w:val="0"/>
                <w:bCs/>
                <w:sz w:val="24"/>
              </w:rPr>
              <w:t>这是一部熔童话故事和男性智慧于一炉的奇书。美国荣格派精神分析学家艾伦·B.知念用亲近当代读者的语言重述了数十篇精选自世界各地的经典男性童话，通过对精灵、巫师、国王等男性主人公形象的精妙解析，挖掘出了尘封于时间与心灵深处的古老男性原型，带领读者去重新认识男性行为背后的深层缘由，为那些已经或即将踏上内心之旅的男人提供了一幅地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心得体会</w:t>
            </w:r>
          </w:p>
        </w:tc>
        <w:tc>
          <w:tcPr>
            <w:tcW w:w="792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 xml:space="preserve">童话里关于男性的故事，往往是英雄的成长史。一个平凡的男孩响应命运的召唤，孤身一人去往未知的远方。这趟旅途充满艰辛和危险，但男孩凭借勇敢完成了蜕变。这类童话到男孩成为英雄就结束了。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英雄不可能永远是英雄。琐碎而平淡的日子会日复一日地把英雄掩盖起来，直至把他逼入生活的死角。这个阶段的男性面对的生活难题不亚于他们年青时遇到的巨龙和恶魔。如何和生活和解，是他们面临的新问题。  与生活和解的答案，就藏在作者对八个成人童话的解读里。有一句话说得好，事实不重要，对事实的解读才重要。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9153B"/>
    <w:rsid w:val="1589153B"/>
    <w:rsid w:val="1A1370E2"/>
    <w:rsid w:val="212002D8"/>
    <w:rsid w:val="2CD07121"/>
    <w:rsid w:val="400B1E20"/>
    <w:rsid w:val="47127DA4"/>
    <w:rsid w:val="55444818"/>
    <w:rsid w:val="57BD4A47"/>
    <w:rsid w:val="6AF94B27"/>
    <w:rsid w:val="700F29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2018-06-20T12:38:00Z</dcterms:created>
  <dc:creator>Administrator</dc:creator>
  <cp:lastModifiedBy>DELL</cp:lastModifiedBy>
  <dcterms:modified xsi:type="dcterms:W3CDTF">2019-12-10T06:55:02Z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